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8F661" w14:textId="77777777" w:rsidR="00E7415B" w:rsidRPr="004F5888" w:rsidRDefault="00E7415B" w:rsidP="00E7415B">
      <w:pPr>
        <w:jc w:val="center"/>
        <w:rPr>
          <w:rFonts w:ascii="Times New Roman" w:eastAsia="Times New Roman" w:hAnsi="Times New Roman" w:cs="Times New Roman"/>
          <w:b/>
          <w:sz w:val="28"/>
          <w:szCs w:val="28"/>
        </w:rPr>
      </w:pPr>
      <w:bookmarkStart w:id="0" w:name="_Hlk57659318"/>
      <w:r w:rsidRPr="004F5888">
        <w:rPr>
          <w:rFonts w:ascii="Times New Roman" w:eastAsia="Times New Roman" w:hAnsi="Times New Roman" w:cs="Times New Roman"/>
          <w:b/>
          <w:sz w:val="28"/>
          <w:szCs w:val="28"/>
        </w:rPr>
        <w:t>Министерство образования и науки Республики Казахстан</w:t>
      </w:r>
    </w:p>
    <w:p w14:paraId="7AE0A128" w14:textId="77777777" w:rsidR="00E7415B" w:rsidRPr="004F5888" w:rsidRDefault="00E7415B" w:rsidP="00E7415B">
      <w:pPr>
        <w:jc w:val="center"/>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t>НАО Медицинский университет Караганды</w:t>
      </w:r>
    </w:p>
    <w:p w14:paraId="16936508" w14:textId="77777777" w:rsidR="00E7415B" w:rsidRPr="004F5888" w:rsidRDefault="00E7415B" w:rsidP="00E7415B">
      <w:pPr>
        <w:jc w:val="center"/>
        <w:rPr>
          <w:rFonts w:ascii="Times New Roman" w:eastAsia="Times New Roman" w:hAnsi="Times New Roman" w:cs="Times New Roman"/>
          <w:b/>
          <w:sz w:val="28"/>
          <w:szCs w:val="28"/>
        </w:rPr>
      </w:pPr>
    </w:p>
    <w:p w14:paraId="2F97B428" w14:textId="77777777" w:rsidR="00E7415B" w:rsidRPr="004F5888" w:rsidRDefault="00E7415B" w:rsidP="00E7415B">
      <w:pPr>
        <w:tabs>
          <w:tab w:val="left" w:pos="2520"/>
        </w:tabs>
        <w:jc w:val="right"/>
        <w:rPr>
          <w:rFonts w:ascii="Times New Roman" w:hAnsi="Times New Roman" w:cs="Times New Roman"/>
          <w:b/>
          <w:sz w:val="28"/>
          <w:szCs w:val="28"/>
        </w:rPr>
      </w:pPr>
      <w:r w:rsidRPr="004F5888">
        <w:rPr>
          <w:rFonts w:ascii="Times New Roman" w:hAnsi="Times New Roman" w:cs="Times New Roman"/>
          <w:b/>
          <w:sz w:val="28"/>
          <w:szCs w:val="28"/>
        </w:rPr>
        <w:t xml:space="preserve">«Допущена к защите» </w:t>
      </w:r>
    </w:p>
    <w:p w14:paraId="69E72A9C" w14:textId="77777777" w:rsidR="00E7415B" w:rsidRPr="004F5888" w:rsidRDefault="00E7415B" w:rsidP="00E7415B">
      <w:pPr>
        <w:tabs>
          <w:tab w:val="left" w:pos="2520"/>
        </w:tabs>
        <w:jc w:val="right"/>
        <w:rPr>
          <w:rFonts w:ascii="Times New Roman" w:hAnsi="Times New Roman" w:cs="Times New Roman"/>
          <w:b/>
          <w:sz w:val="28"/>
          <w:szCs w:val="28"/>
        </w:rPr>
      </w:pPr>
      <w:r w:rsidRPr="004F5888">
        <w:rPr>
          <w:rFonts w:ascii="Times New Roman" w:hAnsi="Times New Roman" w:cs="Times New Roman"/>
          <w:b/>
          <w:sz w:val="28"/>
          <w:szCs w:val="28"/>
        </w:rPr>
        <w:t xml:space="preserve">___________ </w:t>
      </w:r>
    </w:p>
    <w:p w14:paraId="645A98D5" w14:textId="77777777" w:rsidR="00E7415B" w:rsidRPr="004F5888" w:rsidRDefault="00E7415B" w:rsidP="00E7415B">
      <w:pPr>
        <w:tabs>
          <w:tab w:val="left" w:pos="2520"/>
        </w:tabs>
        <w:jc w:val="right"/>
        <w:rPr>
          <w:rFonts w:ascii="Times New Roman" w:hAnsi="Times New Roman" w:cs="Times New Roman"/>
          <w:b/>
          <w:bCs/>
          <w:sz w:val="28"/>
          <w:szCs w:val="28"/>
        </w:rPr>
      </w:pPr>
      <w:r w:rsidRPr="004F5888">
        <w:rPr>
          <w:rFonts w:ascii="Times New Roman" w:hAnsi="Times New Roman" w:cs="Times New Roman"/>
          <w:b/>
          <w:bCs/>
          <w:sz w:val="28"/>
          <w:szCs w:val="28"/>
        </w:rPr>
        <w:t xml:space="preserve">Заведующей кафедрой </w:t>
      </w:r>
    </w:p>
    <w:p w14:paraId="02A60E61" w14:textId="77777777" w:rsidR="00E7415B" w:rsidRPr="004F5888" w:rsidRDefault="00E7415B" w:rsidP="00E7415B">
      <w:pPr>
        <w:tabs>
          <w:tab w:val="left" w:pos="2520"/>
        </w:tabs>
        <w:jc w:val="right"/>
        <w:rPr>
          <w:rFonts w:ascii="Times New Roman" w:hAnsi="Times New Roman" w:cs="Times New Roman"/>
          <w:b/>
          <w:bCs/>
          <w:sz w:val="28"/>
          <w:szCs w:val="28"/>
        </w:rPr>
      </w:pPr>
      <w:r w:rsidRPr="004F5888">
        <w:rPr>
          <w:rFonts w:ascii="Times New Roman" w:hAnsi="Times New Roman" w:cs="Times New Roman"/>
          <w:b/>
          <w:bCs/>
          <w:sz w:val="28"/>
          <w:szCs w:val="28"/>
        </w:rPr>
        <w:t>общественного здравоохранения</w:t>
      </w:r>
    </w:p>
    <w:p w14:paraId="37826167" w14:textId="77777777" w:rsidR="00E7415B" w:rsidRPr="004F5888" w:rsidRDefault="00E7415B" w:rsidP="00E7415B">
      <w:pPr>
        <w:tabs>
          <w:tab w:val="left" w:pos="2520"/>
        </w:tabs>
        <w:jc w:val="right"/>
        <w:rPr>
          <w:rFonts w:ascii="Times New Roman" w:hAnsi="Times New Roman" w:cs="Times New Roman"/>
          <w:b/>
          <w:bCs/>
          <w:sz w:val="28"/>
          <w:szCs w:val="28"/>
        </w:rPr>
      </w:pPr>
      <w:r w:rsidRPr="004F5888">
        <w:rPr>
          <w:rFonts w:ascii="Times New Roman" w:hAnsi="Times New Roman" w:cs="Times New Roman"/>
          <w:b/>
          <w:bCs/>
          <w:sz w:val="28"/>
          <w:szCs w:val="28"/>
        </w:rPr>
        <w:t>С.Р.Жакеновой</w:t>
      </w:r>
    </w:p>
    <w:p w14:paraId="1FDF6ECF" w14:textId="77777777" w:rsidR="00E7415B" w:rsidRPr="004F5888" w:rsidRDefault="00E7415B" w:rsidP="00E7415B">
      <w:pPr>
        <w:rPr>
          <w:rFonts w:ascii="Times New Roman" w:eastAsia="Times New Roman" w:hAnsi="Times New Roman" w:cs="Times New Roman"/>
          <w:b/>
          <w:sz w:val="28"/>
          <w:szCs w:val="28"/>
        </w:rPr>
      </w:pPr>
    </w:p>
    <w:p w14:paraId="59AAC321" w14:textId="77777777" w:rsidR="00E7415B" w:rsidRPr="004F5888" w:rsidRDefault="00E7415B" w:rsidP="00E7415B">
      <w:pPr>
        <w:jc w:val="center"/>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t>ДИПЛОМНАЯ РАБОТА</w:t>
      </w:r>
    </w:p>
    <w:p w14:paraId="070CB138" w14:textId="77777777" w:rsidR="00E7415B" w:rsidRPr="004F5888" w:rsidRDefault="00E7415B" w:rsidP="00E7415B">
      <w:pPr>
        <w:rPr>
          <w:rFonts w:ascii="Times New Roman" w:eastAsia="Times New Roman" w:hAnsi="Times New Roman" w:cs="Times New Roman"/>
          <w:b/>
          <w:sz w:val="28"/>
          <w:szCs w:val="28"/>
        </w:rPr>
      </w:pPr>
    </w:p>
    <w:p w14:paraId="0CF757DC" w14:textId="35A2CB03" w:rsidR="00E7415B" w:rsidRPr="004F5888" w:rsidRDefault="00E7415B" w:rsidP="00E7415B">
      <w:pPr>
        <w:jc w:val="center"/>
        <w:rPr>
          <w:rFonts w:ascii="Times New Roman" w:eastAsia="Times New Roman" w:hAnsi="Times New Roman" w:cs="Times New Roman"/>
          <w:b/>
          <w:bCs/>
          <w:sz w:val="28"/>
          <w:szCs w:val="28"/>
        </w:rPr>
      </w:pPr>
      <w:r w:rsidRPr="004F5888">
        <w:rPr>
          <w:rFonts w:ascii="Times New Roman" w:eastAsia="Times New Roman" w:hAnsi="Times New Roman" w:cs="Times New Roman"/>
          <w:b/>
          <w:bCs/>
          <w:sz w:val="28"/>
          <w:szCs w:val="28"/>
        </w:rPr>
        <w:t xml:space="preserve">На тему: «Оценка когнитивных функций у лиц </w:t>
      </w:r>
      <w:r w:rsidR="004E056F" w:rsidRPr="004F5888">
        <w:rPr>
          <w:rFonts w:ascii="Times New Roman" w:eastAsia="Times New Roman" w:hAnsi="Times New Roman" w:cs="Times New Roman"/>
          <w:b/>
          <w:bCs/>
          <w:sz w:val="28"/>
          <w:szCs w:val="28"/>
        </w:rPr>
        <w:t xml:space="preserve">возраста старше 40 </w:t>
      </w:r>
      <w:r w:rsidRPr="004F5888">
        <w:rPr>
          <w:rFonts w:ascii="Times New Roman" w:eastAsia="Times New Roman" w:hAnsi="Times New Roman" w:cs="Times New Roman"/>
          <w:b/>
          <w:bCs/>
          <w:sz w:val="28"/>
          <w:szCs w:val="28"/>
        </w:rPr>
        <w:t>лет в г. Караганды».</w:t>
      </w:r>
    </w:p>
    <w:p w14:paraId="07F25457" w14:textId="77777777" w:rsidR="00E7415B" w:rsidRPr="004F5888" w:rsidRDefault="00E7415B" w:rsidP="00E7415B">
      <w:pPr>
        <w:jc w:val="center"/>
        <w:rPr>
          <w:rFonts w:ascii="Times New Roman" w:eastAsia="Times New Roman" w:hAnsi="Times New Roman" w:cs="Times New Roman"/>
          <w:b/>
          <w:sz w:val="28"/>
          <w:szCs w:val="28"/>
        </w:rPr>
      </w:pPr>
    </w:p>
    <w:p w14:paraId="769A30AB" w14:textId="77777777" w:rsidR="00E7415B" w:rsidRPr="004F5888" w:rsidRDefault="00E7415B" w:rsidP="00E7415B">
      <w:pPr>
        <w:jc w:val="center"/>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t>по специальности 5В110200 – «Общественное здравоохранение»</w:t>
      </w:r>
    </w:p>
    <w:p w14:paraId="144A10A0" w14:textId="77777777" w:rsidR="00E7415B" w:rsidRPr="004F5888" w:rsidRDefault="00E7415B" w:rsidP="00E7415B">
      <w:pPr>
        <w:rPr>
          <w:rFonts w:ascii="Times New Roman" w:eastAsia="Times New Roman" w:hAnsi="Times New Roman" w:cs="Times New Roman"/>
          <w:b/>
          <w:sz w:val="28"/>
          <w:szCs w:val="28"/>
        </w:rPr>
      </w:pPr>
    </w:p>
    <w:p w14:paraId="786C9161" w14:textId="77777777" w:rsidR="00E7415B" w:rsidRPr="004F5888" w:rsidRDefault="00E7415B" w:rsidP="00E7415B">
      <w:pPr>
        <w:rPr>
          <w:rFonts w:ascii="Times New Roman" w:eastAsia="Times New Roman" w:hAnsi="Times New Roman" w:cs="Times New Roman"/>
          <w:b/>
          <w:sz w:val="28"/>
          <w:szCs w:val="28"/>
        </w:rPr>
      </w:pPr>
    </w:p>
    <w:p w14:paraId="78122C79" w14:textId="77777777" w:rsidR="00E7415B" w:rsidRPr="004F5888" w:rsidRDefault="00E7415B" w:rsidP="00E7415B">
      <w:pPr>
        <w:rPr>
          <w:rFonts w:ascii="Times New Roman" w:eastAsia="Times New Roman" w:hAnsi="Times New Roman" w:cs="Times New Roman"/>
          <w:b/>
          <w:sz w:val="28"/>
          <w:szCs w:val="28"/>
        </w:rPr>
      </w:pPr>
    </w:p>
    <w:p w14:paraId="6C411012" w14:textId="77777777" w:rsidR="00E7415B" w:rsidRPr="004F5888" w:rsidRDefault="00E7415B" w:rsidP="00E7415B">
      <w:pPr>
        <w:rPr>
          <w:rFonts w:ascii="Times New Roman" w:eastAsia="Times New Roman" w:hAnsi="Times New Roman" w:cs="Times New Roman"/>
          <w:b/>
          <w:sz w:val="28"/>
          <w:szCs w:val="28"/>
        </w:rPr>
      </w:pPr>
    </w:p>
    <w:p w14:paraId="171274F5" w14:textId="28C86DA6" w:rsidR="00E7415B" w:rsidRPr="004F5888" w:rsidRDefault="00E7415B" w:rsidP="00E7415B">
      <w:pPr>
        <w:tabs>
          <w:tab w:val="left" w:pos="2520"/>
          <w:tab w:val="left" w:pos="5313"/>
        </w:tabs>
        <w:rPr>
          <w:rFonts w:ascii="Times New Roman" w:hAnsi="Times New Roman" w:cs="Times New Roman"/>
          <w:b/>
          <w:bCs/>
          <w:sz w:val="28"/>
          <w:szCs w:val="28"/>
        </w:rPr>
      </w:pPr>
      <w:r w:rsidRPr="004F5888">
        <w:rPr>
          <w:rFonts w:ascii="Times New Roman" w:hAnsi="Times New Roman" w:cs="Times New Roman"/>
          <w:b/>
          <w:bCs/>
          <w:sz w:val="28"/>
          <w:szCs w:val="28"/>
        </w:rPr>
        <w:t>В</w:t>
      </w:r>
      <w:r w:rsidR="0032273E" w:rsidRPr="004F5888">
        <w:rPr>
          <w:rFonts w:ascii="Times New Roman" w:hAnsi="Times New Roman" w:cs="Times New Roman"/>
          <w:b/>
          <w:bCs/>
          <w:sz w:val="28"/>
          <w:szCs w:val="28"/>
        </w:rPr>
        <w:t xml:space="preserve">ыполнила:  </w:t>
      </w:r>
      <w:r w:rsidRPr="004F5888">
        <w:rPr>
          <w:rFonts w:ascii="Times New Roman" w:hAnsi="Times New Roman" w:cs="Times New Roman"/>
          <w:b/>
          <w:bCs/>
          <w:sz w:val="28"/>
          <w:szCs w:val="28"/>
        </w:rPr>
        <w:t>студентка 4 курса М.К.Тилеубек</w:t>
      </w:r>
    </w:p>
    <w:p w14:paraId="3A1D9C91" w14:textId="77777777" w:rsidR="00E7415B" w:rsidRPr="004F5888" w:rsidRDefault="00E7415B" w:rsidP="00E7415B">
      <w:pPr>
        <w:tabs>
          <w:tab w:val="left" w:pos="2520"/>
          <w:tab w:val="left" w:pos="5313"/>
        </w:tabs>
        <w:jc w:val="right"/>
        <w:rPr>
          <w:rFonts w:ascii="Times New Roman" w:hAnsi="Times New Roman" w:cs="Times New Roman"/>
          <w:b/>
          <w:bCs/>
          <w:sz w:val="28"/>
          <w:szCs w:val="28"/>
        </w:rPr>
      </w:pPr>
    </w:p>
    <w:p w14:paraId="1D0C3E0B" w14:textId="77777777" w:rsidR="00E7415B" w:rsidRPr="004F5888" w:rsidRDefault="00E7415B" w:rsidP="00E7415B">
      <w:pPr>
        <w:tabs>
          <w:tab w:val="left" w:pos="7920"/>
        </w:tabs>
        <w:rPr>
          <w:rFonts w:ascii="Times New Roman" w:eastAsia="Times New Roman" w:hAnsi="Times New Roman" w:cs="Times New Roman"/>
          <w:b/>
          <w:sz w:val="28"/>
          <w:szCs w:val="28"/>
        </w:rPr>
      </w:pPr>
    </w:p>
    <w:p w14:paraId="79B4FDE4" w14:textId="77777777" w:rsidR="00E7415B" w:rsidRPr="004F5888" w:rsidRDefault="00E7415B" w:rsidP="00E7415B">
      <w:pPr>
        <w:tabs>
          <w:tab w:val="left" w:pos="7920"/>
        </w:tabs>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t>Научный руководитель:</w:t>
      </w:r>
    </w:p>
    <w:p w14:paraId="2F7D0220" w14:textId="77777777" w:rsidR="00E7415B" w:rsidRPr="004F5888" w:rsidRDefault="00E7415B" w:rsidP="00E7415B">
      <w:pPr>
        <w:tabs>
          <w:tab w:val="left" w:pos="7920"/>
        </w:tabs>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t>преподаватель кафедры</w:t>
      </w:r>
    </w:p>
    <w:p w14:paraId="69C7477C" w14:textId="77777777" w:rsidR="00E7415B" w:rsidRPr="004F5888" w:rsidRDefault="00E7415B" w:rsidP="00E7415B">
      <w:pPr>
        <w:tabs>
          <w:tab w:val="left" w:pos="7920"/>
        </w:tabs>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t xml:space="preserve">общественного здравоохранения                                         О.К. Жамантаев </w:t>
      </w:r>
    </w:p>
    <w:p w14:paraId="3E7E837C" w14:textId="3594E516" w:rsidR="00300F1D" w:rsidRPr="004F5888" w:rsidRDefault="00300F1D" w:rsidP="004F5888">
      <w:pPr>
        <w:tabs>
          <w:tab w:val="left" w:pos="7920"/>
        </w:tabs>
        <w:rPr>
          <w:rFonts w:ascii="Times New Roman" w:eastAsia="Times New Roman" w:hAnsi="Times New Roman" w:cs="Times New Roman"/>
          <w:b/>
          <w:sz w:val="28"/>
          <w:szCs w:val="28"/>
        </w:rPr>
      </w:pPr>
    </w:p>
    <w:p w14:paraId="53AC3623" w14:textId="77777777" w:rsidR="00300F1D" w:rsidRPr="004F5888" w:rsidRDefault="00300F1D" w:rsidP="00E7415B">
      <w:pPr>
        <w:tabs>
          <w:tab w:val="left" w:pos="7920"/>
        </w:tabs>
        <w:jc w:val="center"/>
        <w:rPr>
          <w:rFonts w:ascii="Times New Roman" w:eastAsia="Times New Roman" w:hAnsi="Times New Roman" w:cs="Times New Roman"/>
          <w:b/>
          <w:sz w:val="28"/>
          <w:szCs w:val="28"/>
        </w:rPr>
      </w:pPr>
    </w:p>
    <w:p w14:paraId="75D4DD16" w14:textId="42EE5983" w:rsidR="00AC352A" w:rsidRPr="004F5888" w:rsidRDefault="00300F1D" w:rsidP="00300F1D">
      <w:pPr>
        <w:tabs>
          <w:tab w:val="left" w:pos="7920"/>
        </w:tabs>
        <w:jc w:val="center"/>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t>Караганда 2021</w:t>
      </w:r>
    </w:p>
    <w:p w14:paraId="6902B760" w14:textId="77777777" w:rsidR="00AC352A" w:rsidRPr="004F5888" w:rsidRDefault="00AC352A" w:rsidP="00E7415B">
      <w:pPr>
        <w:tabs>
          <w:tab w:val="left" w:pos="7920"/>
        </w:tabs>
        <w:jc w:val="center"/>
        <w:rPr>
          <w:rFonts w:ascii="Times New Roman" w:eastAsia="Times New Roman" w:hAnsi="Times New Roman" w:cs="Times New Roman"/>
          <w:b/>
          <w:sz w:val="28"/>
          <w:szCs w:val="28"/>
        </w:rPr>
      </w:pPr>
    </w:p>
    <w:p w14:paraId="4F19181C" w14:textId="77777777" w:rsidR="00E7415B" w:rsidRPr="004F5888" w:rsidRDefault="00E7415B" w:rsidP="00E7415B">
      <w:pPr>
        <w:tabs>
          <w:tab w:val="left" w:pos="7920"/>
        </w:tabs>
        <w:jc w:val="center"/>
        <w:rPr>
          <w:rFonts w:ascii="Times New Roman" w:hAnsi="Times New Roman" w:cs="Times New Roman"/>
          <w:b/>
          <w:sz w:val="28"/>
          <w:szCs w:val="28"/>
        </w:rPr>
      </w:pPr>
      <w:r w:rsidRPr="004F5888">
        <w:rPr>
          <w:rFonts w:ascii="Times New Roman" w:hAnsi="Times New Roman" w:cs="Times New Roman"/>
          <w:b/>
          <w:sz w:val="28"/>
          <w:szCs w:val="28"/>
        </w:rPr>
        <w:t xml:space="preserve">Задание по выполнению дипломной работы </w:t>
      </w:r>
    </w:p>
    <w:p w14:paraId="10BED972" w14:textId="77777777" w:rsidR="00E7415B" w:rsidRPr="004F5888" w:rsidRDefault="00E7415B" w:rsidP="00E7415B">
      <w:pPr>
        <w:jc w:val="both"/>
        <w:rPr>
          <w:rFonts w:ascii="Times New Roman" w:hAnsi="Times New Roman" w:cs="Times New Roman"/>
          <w:b/>
          <w:sz w:val="28"/>
          <w:szCs w:val="28"/>
        </w:rPr>
      </w:pPr>
    </w:p>
    <w:p w14:paraId="04A893C7" w14:textId="77777777" w:rsidR="00E7415B" w:rsidRPr="004F5888" w:rsidRDefault="00E7415B" w:rsidP="00E7415B">
      <w:pPr>
        <w:jc w:val="both"/>
        <w:rPr>
          <w:rFonts w:ascii="Times New Roman" w:hAnsi="Times New Roman" w:cs="Times New Roman"/>
          <w:b/>
          <w:sz w:val="28"/>
          <w:szCs w:val="28"/>
        </w:rPr>
      </w:pPr>
    </w:p>
    <w:tbl>
      <w:tblPr>
        <w:tblW w:w="0" w:type="auto"/>
        <w:tblLook w:val="04A0" w:firstRow="1" w:lastRow="0" w:firstColumn="1" w:lastColumn="0" w:noHBand="0" w:noVBand="1"/>
      </w:tblPr>
      <w:tblGrid>
        <w:gridCol w:w="675"/>
        <w:gridCol w:w="5894"/>
        <w:gridCol w:w="3285"/>
      </w:tblGrid>
      <w:tr w:rsidR="00E7415B" w:rsidRPr="004F5888" w14:paraId="55325F06" w14:textId="77777777" w:rsidTr="00E741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9F6F5" w14:textId="77777777" w:rsidR="00E7415B" w:rsidRPr="004F5888" w:rsidRDefault="00E7415B">
            <w:pPr>
              <w:jc w:val="both"/>
              <w:rPr>
                <w:rFonts w:ascii="Times New Roman" w:hAnsi="Times New Roman" w:cs="Times New Roman"/>
                <w:b/>
                <w:sz w:val="28"/>
                <w:szCs w:val="28"/>
              </w:rPr>
            </w:pPr>
            <w:r w:rsidRPr="004F5888">
              <w:rPr>
                <w:rFonts w:ascii="Times New Roman" w:hAnsi="Times New Roman" w:cs="Times New Roman"/>
                <w:b/>
                <w:sz w:val="28"/>
                <w:szCs w:val="28"/>
              </w:rPr>
              <w:t>№</w:t>
            </w:r>
          </w:p>
        </w:tc>
        <w:tc>
          <w:tcPr>
            <w:tcW w:w="5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401A7" w14:textId="77777777" w:rsidR="00E7415B" w:rsidRPr="004F5888" w:rsidRDefault="00E7415B">
            <w:pPr>
              <w:jc w:val="both"/>
              <w:rPr>
                <w:rFonts w:ascii="Times New Roman" w:hAnsi="Times New Roman" w:cs="Times New Roman"/>
                <w:b/>
                <w:sz w:val="28"/>
                <w:szCs w:val="28"/>
              </w:rPr>
            </w:pPr>
            <w:r w:rsidRPr="004F5888">
              <w:rPr>
                <w:rFonts w:ascii="Times New Roman" w:hAnsi="Times New Roman" w:cs="Times New Roman"/>
                <w:b/>
                <w:sz w:val="28"/>
                <w:szCs w:val="28"/>
              </w:rPr>
              <w:t>Задание</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8025AE" w14:textId="77777777" w:rsidR="00E7415B" w:rsidRPr="004F5888" w:rsidRDefault="00E7415B">
            <w:pPr>
              <w:jc w:val="both"/>
              <w:rPr>
                <w:rFonts w:ascii="Times New Roman" w:hAnsi="Times New Roman" w:cs="Times New Roman"/>
                <w:b/>
                <w:sz w:val="28"/>
                <w:szCs w:val="28"/>
              </w:rPr>
            </w:pPr>
            <w:r w:rsidRPr="004F5888">
              <w:rPr>
                <w:rFonts w:ascii="Times New Roman" w:hAnsi="Times New Roman" w:cs="Times New Roman"/>
                <w:b/>
                <w:sz w:val="28"/>
                <w:szCs w:val="28"/>
              </w:rPr>
              <w:t>Сроки выполнения</w:t>
            </w:r>
          </w:p>
        </w:tc>
      </w:tr>
      <w:tr w:rsidR="00E7415B" w:rsidRPr="004F5888" w14:paraId="4895422F" w14:textId="77777777" w:rsidTr="00E741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448B8"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1</w:t>
            </w:r>
          </w:p>
        </w:tc>
        <w:tc>
          <w:tcPr>
            <w:tcW w:w="5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65EA8"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Выбор темы для написания дипломной работы</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A4C7E" w14:textId="132D3E1B" w:rsidR="00E7415B" w:rsidRPr="004F5888" w:rsidRDefault="00D34480">
            <w:pPr>
              <w:jc w:val="both"/>
              <w:rPr>
                <w:rFonts w:ascii="Times New Roman" w:hAnsi="Times New Roman" w:cs="Times New Roman"/>
                <w:sz w:val="28"/>
                <w:szCs w:val="28"/>
              </w:rPr>
            </w:pPr>
            <w:r w:rsidRPr="004F5888">
              <w:rPr>
                <w:rFonts w:ascii="Times New Roman" w:hAnsi="Times New Roman" w:cs="Times New Roman"/>
                <w:sz w:val="28"/>
                <w:szCs w:val="28"/>
              </w:rPr>
              <w:t>13.10.2020-30.10.2020</w:t>
            </w:r>
          </w:p>
        </w:tc>
      </w:tr>
      <w:tr w:rsidR="00E7415B" w:rsidRPr="004F5888" w14:paraId="0AF06558" w14:textId="77777777" w:rsidTr="00E741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8D8B2"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2</w:t>
            </w:r>
          </w:p>
        </w:tc>
        <w:tc>
          <w:tcPr>
            <w:tcW w:w="5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DF36A"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Литературный обзор по выбранной теме</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FFFAD" w14:textId="7F0DEEB1" w:rsidR="00E7415B" w:rsidRPr="004F5888" w:rsidRDefault="00C7124A">
            <w:pPr>
              <w:jc w:val="both"/>
              <w:rPr>
                <w:rFonts w:ascii="Times New Roman" w:hAnsi="Times New Roman" w:cs="Times New Roman"/>
                <w:sz w:val="28"/>
                <w:szCs w:val="28"/>
              </w:rPr>
            </w:pPr>
            <w:r w:rsidRPr="004F5888">
              <w:rPr>
                <w:rFonts w:ascii="Times New Roman" w:hAnsi="Times New Roman" w:cs="Times New Roman"/>
                <w:sz w:val="28"/>
                <w:szCs w:val="28"/>
              </w:rPr>
              <w:t>31.10.2020- 1.12 .2020</w:t>
            </w:r>
          </w:p>
        </w:tc>
      </w:tr>
      <w:tr w:rsidR="00E7415B" w:rsidRPr="004F5888" w14:paraId="56AF9BFC" w14:textId="77777777" w:rsidTr="00E741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C9E1C"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3</w:t>
            </w:r>
          </w:p>
        </w:tc>
        <w:tc>
          <w:tcPr>
            <w:tcW w:w="5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FA7A67"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Проведение социологического опроса (анонимное анкетирование)</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6A046" w14:textId="1C23B5B0" w:rsidR="00E7415B" w:rsidRPr="004F5888" w:rsidRDefault="00BE7DC4">
            <w:pPr>
              <w:jc w:val="both"/>
              <w:rPr>
                <w:rFonts w:ascii="Times New Roman" w:hAnsi="Times New Roman" w:cs="Times New Roman"/>
                <w:sz w:val="28"/>
                <w:szCs w:val="28"/>
              </w:rPr>
            </w:pPr>
            <w:r w:rsidRPr="004F5888">
              <w:rPr>
                <w:rFonts w:ascii="Times New Roman" w:hAnsi="Times New Roman" w:cs="Times New Roman"/>
                <w:sz w:val="28"/>
                <w:szCs w:val="28"/>
              </w:rPr>
              <w:t>1.12.2020-15.12.2020</w:t>
            </w:r>
          </w:p>
        </w:tc>
      </w:tr>
      <w:tr w:rsidR="00E7415B" w:rsidRPr="004F5888" w14:paraId="34D9FC0B" w14:textId="77777777" w:rsidTr="00E741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FE472"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4</w:t>
            </w:r>
          </w:p>
        </w:tc>
        <w:tc>
          <w:tcPr>
            <w:tcW w:w="5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BB158"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Математическая и статистическая обработка полученных с помощью опроса данных</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F6531" w14:textId="4A1F7C68" w:rsidR="00E7415B" w:rsidRPr="004F5888" w:rsidRDefault="00A549C0">
            <w:pPr>
              <w:jc w:val="both"/>
              <w:rPr>
                <w:rFonts w:ascii="Times New Roman" w:hAnsi="Times New Roman" w:cs="Times New Roman"/>
                <w:sz w:val="28"/>
                <w:szCs w:val="28"/>
              </w:rPr>
            </w:pPr>
            <w:r w:rsidRPr="004F5888">
              <w:rPr>
                <w:rFonts w:ascii="Times New Roman" w:hAnsi="Times New Roman" w:cs="Times New Roman"/>
                <w:sz w:val="28"/>
                <w:szCs w:val="28"/>
                <w:lang w:val="en-US"/>
              </w:rPr>
              <w:t>29</w:t>
            </w:r>
            <w:r w:rsidRPr="004F5888">
              <w:rPr>
                <w:rFonts w:ascii="Times New Roman" w:hAnsi="Times New Roman" w:cs="Times New Roman"/>
                <w:sz w:val="28"/>
                <w:szCs w:val="28"/>
              </w:rPr>
              <w:t>.</w:t>
            </w:r>
            <w:r w:rsidRPr="004F5888">
              <w:rPr>
                <w:rFonts w:ascii="Times New Roman" w:hAnsi="Times New Roman" w:cs="Times New Roman"/>
                <w:sz w:val="28"/>
                <w:szCs w:val="28"/>
                <w:lang w:val="en-US"/>
              </w:rPr>
              <w:t>12</w:t>
            </w:r>
            <w:r w:rsidRPr="004F5888">
              <w:rPr>
                <w:rFonts w:ascii="Times New Roman" w:hAnsi="Times New Roman" w:cs="Times New Roman"/>
                <w:sz w:val="28"/>
                <w:szCs w:val="28"/>
              </w:rPr>
              <w:t>.</w:t>
            </w:r>
            <w:r w:rsidRPr="004F5888">
              <w:rPr>
                <w:rFonts w:ascii="Times New Roman" w:hAnsi="Times New Roman" w:cs="Times New Roman"/>
                <w:sz w:val="28"/>
                <w:szCs w:val="28"/>
                <w:lang w:val="en-US"/>
              </w:rPr>
              <w:t>18</w:t>
            </w:r>
            <w:r w:rsidRPr="004F5888">
              <w:rPr>
                <w:rFonts w:ascii="Times New Roman" w:hAnsi="Times New Roman" w:cs="Times New Roman"/>
                <w:sz w:val="28"/>
                <w:szCs w:val="28"/>
              </w:rPr>
              <w:t xml:space="preserve"> – 05.03.19</w:t>
            </w:r>
          </w:p>
        </w:tc>
      </w:tr>
      <w:tr w:rsidR="00E7415B" w:rsidRPr="004F5888" w14:paraId="3DE384AE" w14:textId="77777777" w:rsidTr="00E741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6F369"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5</w:t>
            </w:r>
          </w:p>
        </w:tc>
        <w:tc>
          <w:tcPr>
            <w:tcW w:w="5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D4CC94"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Анализ полученных результатов</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8FD8A" w14:textId="61F8B92C" w:rsidR="00E7415B" w:rsidRPr="004F5888" w:rsidRDefault="00A549C0">
            <w:pPr>
              <w:jc w:val="both"/>
              <w:rPr>
                <w:rFonts w:ascii="Times New Roman" w:hAnsi="Times New Roman" w:cs="Times New Roman"/>
                <w:sz w:val="28"/>
                <w:szCs w:val="28"/>
              </w:rPr>
            </w:pPr>
            <w:r w:rsidRPr="004F5888">
              <w:rPr>
                <w:rFonts w:ascii="Times New Roman" w:hAnsi="Times New Roman" w:cs="Times New Roman"/>
                <w:sz w:val="28"/>
                <w:szCs w:val="28"/>
              </w:rPr>
              <w:t>06.03.19 – 03.04.19</w:t>
            </w:r>
          </w:p>
        </w:tc>
      </w:tr>
      <w:tr w:rsidR="00E7415B" w:rsidRPr="004F5888" w14:paraId="72ED9B6E" w14:textId="77777777" w:rsidTr="00E741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5D044"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6</w:t>
            </w:r>
          </w:p>
        </w:tc>
        <w:tc>
          <w:tcPr>
            <w:tcW w:w="5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39E5D"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Написание выводов по дипломной работе</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F3193" w14:textId="48FCD6B6" w:rsidR="00E7415B" w:rsidRPr="004F5888" w:rsidRDefault="00A549C0">
            <w:pPr>
              <w:jc w:val="both"/>
              <w:rPr>
                <w:rFonts w:ascii="Times New Roman" w:hAnsi="Times New Roman" w:cs="Times New Roman"/>
                <w:sz w:val="28"/>
                <w:szCs w:val="28"/>
              </w:rPr>
            </w:pPr>
            <w:r w:rsidRPr="004F5888">
              <w:rPr>
                <w:rFonts w:ascii="Times New Roman" w:hAnsi="Times New Roman" w:cs="Times New Roman"/>
                <w:sz w:val="28"/>
                <w:szCs w:val="28"/>
              </w:rPr>
              <w:t>04.04.19 – 12.04.19</w:t>
            </w:r>
          </w:p>
        </w:tc>
      </w:tr>
      <w:tr w:rsidR="00E7415B" w:rsidRPr="004F5888" w14:paraId="3ACDC197" w14:textId="77777777" w:rsidTr="00E7415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0D2A9"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7</w:t>
            </w:r>
          </w:p>
        </w:tc>
        <w:tc>
          <w:tcPr>
            <w:tcW w:w="5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E4F13" w14:textId="77777777" w:rsidR="00E7415B" w:rsidRPr="004F5888" w:rsidRDefault="00E7415B">
            <w:pPr>
              <w:jc w:val="both"/>
              <w:rPr>
                <w:rFonts w:ascii="Times New Roman" w:hAnsi="Times New Roman" w:cs="Times New Roman"/>
                <w:sz w:val="28"/>
                <w:szCs w:val="28"/>
              </w:rPr>
            </w:pPr>
            <w:r w:rsidRPr="004F5888">
              <w:rPr>
                <w:rFonts w:ascii="Times New Roman" w:hAnsi="Times New Roman" w:cs="Times New Roman"/>
                <w:sz w:val="28"/>
                <w:szCs w:val="28"/>
              </w:rPr>
              <w:t xml:space="preserve">Составление рекомендаций </w:t>
            </w:r>
          </w:p>
        </w:tc>
        <w:tc>
          <w:tcPr>
            <w:tcW w:w="3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C4FCA" w14:textId="4425A1B4" w:rsidR="00E7415B" w:rsidRPr="004F5888" w:rsidRDefault="00A549C0">
            <w:pPr>
              <w:jc w:val="both"/>
              <w:rPr>
                <w:rFonts w:ascii="Times New Roman" w:hAnsi="Times New Roman" w:cs="Times New Roman"/>
                <w:sz w:val="28"/>
                <w:szCs w:val="28"/>
              </w:rPr>
            </w:pPr>
            <w:r w:rsidRPr="004F5888">
              <w:rPr>
                <w:rFonts w:ascii="Times New Roman" w:hAnsi="Times New Roman" w:cs="Times New Roman"/>
                <w:sz w:val="28"/>
                <w:szCs w:val="28"/>
              </w:rPr>
              <w:t>13.04.19 – 27.04.19</w:t>
            </w:r>
          </w:p>
        </w:tc>
      </w:tr>
    </w:tbl>
    <w:p w14:paraId="45DE068D" w14:textId="0BF7D999" w:rsidR="00A549C0" w:rsidRPr="004F5888" w:rsidRDefault="00A549C0" w:rsidP="00E7415B">
      <w:pPr>
        <w:rPr>
          <w:rFonts w:ascii="Times New Roman" w:eastAsia="Times New Roman" w:hAnsi="Times New Roman" w:cs="Times New Roman"/>
          <w:b/>
          <w:sz w:val="28"/>
          <w:szCs w:val="28"/>
        </w:rPr>
      </w:pPr>
    </w:p>
    <w:p w14:paraId="3E6370F7" w14:textId="6471F41A" w:rsidR="00E42077" w:rsidRPr="004F5888" w:rsidRDefault="00E42077" w:rsidP="00E7415B">
      <w:pPr>
        <w:rPr>
          <w:rFonts w:ascii="Times New Roman" w:eastAsia="Times New Roman" w:hAnsi="Times New Roman" w:cs="Times New Roman"/>
          <w:b/>
          <w:sz w:val="28"/>
          <w:szCs w:val="28"/>
        </w:rPr>
      </w:pPr>
    </w:p>
    <w:p w14:paraId="02AE84DB" w14:textId="77777777" w:rsidR="00E42077" w:rsidRPr="00AC352A" w:rsidRDefault="00E42077" w:rsidP="00E7415B">
      <w:pPr>
        <w:rPr>
          <w:rFonts w:ascii="Times New Roman" w:eastAsia="Times New Roman" w:hAnsi="Times New Roman" w:cs="Times New Roman"/>
          <w:b/>
          <w:sz w:val="24"/>
          <w:szCs w:val="24"/>
        </w:rPr>
      </w:pPr>
    </w:p>
    <w:bookmarkEnd w:id="0"/>
    <w:p w14:paraId="3EAA6EC8" w14:textId="77777777" w:rsidR="00A549C0" w:rsidRPr="00AC352A" w:rsidRDefault="00A549C0" w:rsidP="00A549C0">
      <w:pPr>
        <w:jc w:val="both"/>
        <w:rPr>
          <w:rFonts w:ascii="Times New Roman" w:eastAsia="Times New Roman" w:hAnsi="Times New Roman" w:cs="Times New Roman"/>
          <w:b/>
          <w:sz w:val="24"/>
          <w:szCs w:val="24"/>
        </w:rPr>
      </w:pPr>
    </w:p>
    <w:p w14:paraId="667FA9AA" w14:textId="4733088C" w:rsidR="00A549C0" w:rsidRPr="00AC352A" w:rsidRDefault="00A549C0" w:rsidP="00A549C0">
      <w:pPr>
        <w:jc w:val="both"/>
        <w:rPr>
          <w:rFonts w:ascii="Times New Roman" w:eastAsia="Times New Roman" w:hAnsi="Times New Roman" w:cs="Times New Roman"/>
          <w:b/>
          <w:sz w:val="24"/>
          <w:szCs w:val="24"/>
        </w:rPr>
      </w:pPr>
    </w:p>
    <w:tbl>
      <w:tblPr>
        <w:tblpPr w:leftFromText="180" w:rightFromText="180" w:horzAnchor="margin" w:tblpY="780"/>
        <w:tblW w:w="10279" w:type="dxa"/>
        <w:tblLook w:val="04A0" w:firstRow="1" w:lastRow="0" w:firstColumn="1" w:lastColumn="0" w:noHBand="0" w:noVBand="1"/>
      </w:tblPr>
      <w:tblGrid>
        <w:gridCol w:w="6521"/>
        <w:gridCol w:w="867"/>
        <w:gridCol w:w="2535"/>
        <w:gridCol w:w="356"/>
      </w:tblGrid>
      <w:tr w:rsidR="00A549C0" w:rsidRPr="004F5888" w14:paraId="3AB81041" w14:textId="77777777" w:rsidTr="00415FCD">
        <w:trPr>
          <w:trHeight w:val="274"/>
        </w:trPr>
        <w:tc>
          <w:tcPr>
            <w:tcW w:w="9923" w:type="dxa"/>
            <w:gridSpan w:val="3"/>
          </w:tcPr>
          <w:p w14:paraId="33BA513F" w14:textId="58071243" w:rsidR="00A549C0" w:rsidRPr="004F5888" w:rsidRDefault="00A549C0" w:rsidP="004F5888">
            <w:pPr>
              <w:spacing w:after="0" w:line="240" w:lineRule="auto"/>
              <w:jc w:val="both"/>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lastRenderedPageBreak/>
              <w:t>СОДЕРЖАНИЕ</w:t>
            </w:r>
          </w:p>
          <w:p w14:paraId="4A9CB9CC" w14:textId="71AE1A73" w:rsidR="00A549C0" w:rsidRPr="004F5888" w:rsidRDefault="00A549C0" w:rsidP="004F5888">
            <w:pPr>
              <w:spacing w:after="0" w:line="240" w:lineRule="auto"/>
              <w:rPr>
                <w:rFonts w:ascii="Times New Roman" w:hAnsi="Times New Roman" w:cs="Times New Roman"/>
                <w:sz w:val="28"/>
                <w:szCs w:val="28"/>
              </w:rPr>
            </w:pPr>
            <w:r w:rsidRPr="004F5888">
              <w:rPr>
                <w:rFonts w:ascii="Times New Roman" w:eastAsia="Times New Roman" w:hAnsi="Times New Roman" w:cs="Times New Roman"/>
                <w:color w:val="000000" w:themeColor="text1"/>
                <w:sz w:val="28"/>
                <w:szCs w:val="28"/>
              </w:rPr>
              <w:t xml:space="preserve">ОБОЗНАЧЕНИЯ И СОКРАЩЕНИЯ ………………………………………                                                                 </w:t>
            </w:r>
          </w:p>
        </w:tc>
        <w:tc>
          <w:tcPr>
            <w:tcW w:w="356" w:type="dxa"/>
          </w:tcPr>
          <w:p w14:paraId="7990952E" w14:textId="77777777" w:rsidR="00A549C0" w:rsidRPr="004F5888" w:rsidRDefault="00A549C0" w:rsidP="00415FCD">
            <w:pPr>
              <w:tabs>
                <w:tab w:val="left" w:pos="175"/>
              </w:tabs>
              <w:spacing w:after="0" w:line="240" w:lineRule="auto"/>
              <w:ind w:left="-687" w:hanging="829"/>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 xml:space="preserve"> 4</w:t>
            </w:r>
          </w:p>
        </w:tc>
      </w:tr>
      <w:tr w:rsidR="00A549C0" w:rsidRPr="004F5888" w14:paraId="4DABCF0B" w14:textId="77777777" w:rsidTr="00415FCD">
        <w:tc>
          <w:tcPr>
            <w:tcW w:w="9923" w:type="dxa"/>
            <w:gridSpan w:val="3"/>
          </w:tcPr>
          <w:p w14:paraId="425461E8" w14:textId="77777777" w:rsidR="00A549C0" w:rsidRPr="004F5888" w:rsidRDefault="00A549C0" w:rsidP="004F5888">
            <w:pPr>
              <w:spacing w:after="0" w:line="240" w:lineRule="auto"/>
              <w:rPr>
                <w:rFonts w:ascii="Times New Roman" w:hAnsi="Times New Roman" w:cs="Times New Roman"/>
                <w:sz w:val="28"/>
                <w:szCs w:val="28"/>
              </w:rPr>
            </w:pPr>
            <w:r w:rsidRPr="004F5888">
              <w:rPr>
                <w:rFonts w:ascii="Times New Roman" w:eastAsia="Times New Roman" w:hAnsi="Times New Roman" w:cs="Times New Roman"/>
                <w:color w:val="000000" w:themeColor="text1"/>
                <w:sz w:val="28"/>
                <w:szCs w:val="28"/>
              </w:rPr>
              <w:t xml:space="preserve">ВВЕДЕНИЕ …………………………………………………………………. </w:t>
            </w:r>
          </w:p>
        </w:tc>
        <w:tc>
          <w:tcPr>
            <w:tcW w:w="356" w:type="dxa"/>
          </w:tcPr>
          <w:p w14:paraId="3A3CE862" w14:textId="77777777" w:rsidR="00A549C0" w:rsidRPr="004F5888" w:rsidRDefault="00A549C0" w:rsidP="004F5888">
            <w:pPr>
              <w:spacing w:after="0" w:line="240" w:lineRule="auto"/>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5</w:t>
            </w:r>
          </w:p>
        </w:tc>
      </w:tr>
      <w:tr w:rsidR="00A549C0" w:rsidRPr="004F5888" w14:paraId="18C19452" w14:textId="77777777" w:rsidTr="00415FCD">
        <w:tc>
          <w:tcPr>
            <w:tcW w:w="9923" w:type="dxa"/>
            <w:gridSpan w:val="3"/>
          </w:tcPr>
          <w:p w14:paraId="5332B1DC" w14:textId="77777777" w:rsidR="00A549C0" w:rsidRPr="004F5888" w:rsidRDefault="00A549C0" w:rsidP="004F5888">
            <w:pPr>
              <w:spacing w:after="0" w:line="240" w:lineRule="auto"/>
              <w:rPr>
                <w:rFonts w:ascii="Times New Roman" w:hAnsi="Times New Roman" w:cs="Times New Roman"/>
                <w:sz w:val="28"/>
                <w:szCs w:val="28"/>
              </w:rPr>
            </w:pPr>
            <w:r w:rsidRPr="004F5888">
              <w:rPr>
                <w:rFonts w:ascii="Times New Roman" w:eastAsia="Times New Roman" w:hAnsi="Times New Roman" w:cs="Times New Roman"/>
                <w:color w:val="000000" w:themeColor="text1"/>
                <w:sz w:val="28"/>
                <w:szCs w:val="28"/>
              </w:rPr>
              <w:t xml:space="preserve">    Актуальность ……………………………………………………………...</w:t>
            </w:r>
          </w:p>
        </w:tc>
        <w:tc>
          <w:tcPr>
            <w:tcW w:w="356" w:type="dxa"/>
          </w:tcPr>
          <w:p w14:paraId="5ADE2F18" w14:textId="77777777" w:rsidR="00A549C0" w:rsidRPr="004F5888" w:rsidRDefault="00A549C0" w:rsidP="004F5888">
            <w:pPr>
              <w:spacing w:after="0" w:line="240" w:lineRule="auto"/>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5</w:t>
            </w:r>
          </w:p>
        </w:tc>
      </w:tr>
      <w:tr w:rsidR="00A549C0" w:rsidRPr="004F5888" w14:paraId="54E34756" w14:textId="77777777" w:rsidTr="00415FCD">
        <w:tc>
          <w:tcPr>
            <w:tcW w:w="9923" w:type="dxa"/>
            <w:gridSpan w:val="3"/>
          </w:tcPr>
          <w:p w14:paraId="5563D725" w14:textId="77777777" w:rsidR="00A549C0" w:rsidRPr="004F5888" w:rsidRDefault="00A549C0" w:rsidP="004F5888">
            <w:pPr>
              <w:spacing w:after="0" w:line="240" w:lineRule="auto"/>
              <w:rPr>
                <w:rFonts w:ascii="Times New Roman" w:hAnsi="Times New Roman" w:cs="Times New Roman"/>
                <w:sz w:val="28"/>
                <w:szCs w:val="28"/>
              </w:rPr>
            </w:pPr>
            <w:r w:rsidRPr="004F5888">
              <w:rPr>
                <w:rFonts w:ascii="Times New Roman" w:eastAsia="Times New Roman" w:hAnsi="Times New Roman" w:cs="Times New Roman"/>
                <w:color w:val="000000" w:themeColor="text1"/>
                <w:sz w:val="28"/>
                <w:szCs w:val="28"/>
              </w:rPr>
              <w:t xml:space="preserve">    Цель исследования ………………………………………………………..                                                                                              </w:t>
            </w:r>
          </w:p>
        </w:tc>
        <w:tc>
          <w:tcPr>
            <w:tcW w:w="356" w:type="dxa"/>
          </w:tcPr>
          <w:p w14:paraId="7241799C" w14:textId="77777777" w:rsidR="00A549C0" w:rsidRPr="004F5888" w:rsidRDefault="00A549C0" w:rsidP="004F5888">
            <w:pPr>
              <w:spacing w:after="0" w:line="240" w:lineRule="auto"/>
              <w:rPr>
                <w:rFonts w:ascii="Times New Roman" w:hAnsi="Times New Roman" w:cs="Times New Roman"/>
                <w:color w:val="000000" w:themeColor="text1"/>
                <w:sz w:val="28"/>
                <w:szCs w:val="28"/>
                <w:lang w:val="en-US"/>
              </w:rPr>
            </w:pPr>
            <w:r w:rsidRPr="004F5888">
              <w:rPr>
                <w:rFonts w:ascii="Times New Roman" w:hAnsi="Times New Roman" w:cs="Times New Roman"/>
                <w:color w:val="000000" w:themeColor="text1"/>
                <w:sz w:val="28"/>
                <w:szCs w:val="28"/>
                <w:lang w:val="en-US"/>
              </w:rPr>
              <w:t>6</w:t>
            </w:r>
          </w:p>
        </w:tc>
      </w:tr>
      <w:tr w:rsidR="00A549C0" w:rsidRPr="004F5888" w14:paraId="4FC68B87" w14:textId="77777777" w:rsidTr="00415FCD">
        <w:tc>
          <w:tcPr>
            <w:tcW w:w="9923" w:type="dxa"/>
            <w:gridSpan w:val="3"/>
          </w:tcPr>
          <w:p w14:paraId="2E349D36" w14:textId="77777777" w:rsidR="00A549C0" w:rsidRPr="004F5888" w:rsidRDefault="00A549C0" w:rsidP="004F5888">
            <w:pPr>
              <w:spacing w:after="0" w:line="240" w:lineRule="auto"/>
              <w:rPr>
                <w:rFonts w:ascii="Times New Roman" w:hAnsi="Times New Roman" w:cs="Times New Roman"/>
                <w:sz w:val="28"/>
                <w:szCs w:val="28"/>
              </w:rPr>
            </w:pPr>
            <w:r w:rsidRPr="004F5888">
              <w:rPr>
                <w:rFonts w:ascii="Times New Roman" w:eastAsia="Times New Roman" w:hAnsi="Times New Roman" w:cs="Times New Roman"/>
                <w:color w:val="000000" w:themeColor="text1"/>
                <w:sz w:val="28"/>
                <w:szCs w:val="28"/>
              </w:rPr>
              <w:t xml:space="preserve">    Объект исследования ……………………………………………………..                                                                                         </w:t>
            </w:r>
          </w:p>
        </w:tc>
        <w:tc>
          <w:tcPr>
            <w:tcW w:w="356" w:type="dxa"/>
          </w:tcPr>
          <w:p w14:paraId="337FFAD5" w14:textId="77777777" w:rsidR="00A549C0" w:rsidRPr="004F5888" w:rsidRDefault="00A549C0" w:rsidP="004F5888">
            <w:pPr>
              <w:spacing w:after="0" w:line="240" w:lineRule="auto"/>
              <w:rPr>
                <w:rFonts w:ascii="Times New Roman" w:hAnsi="Times New Roman" w:cs="Times New Roman"/>
                <w:color w:val="000000" w:themeColor="text1"/>
                <w:sz w:val="28"/>
                <w:szCs w:val="28"/>
                <w:lang w:val="en-US"/>
              </w:rPr>
            </w:pPr>
            <w:r w:rsidRPr="004F5888">
              <w:rPr>
                <w:rFonts w:ascii="Times New Roman" w:hAnsi="Times New Roman" w:cs="Times New Roman"/>
                <w:color w:val="000000" w:themeColor="text1"/>
                <w:sz w:val="28"/>
                <w:szCs w:val="28"/>
                <w:lang w:val="en-US"/>
              </w:rPr>
              <w:t>6</w:t>
            </w:r>
          </w:p>
        </w:tc>
      </w:tr>
      <w:tr w:rsidR="00A549C0" w:rsidRPr="004F5888" w14:paraId="4BD91010" w14:textId="77777777" w:rsidTr="00415FCD">
        <w:tc>
          <w:tcPr>
            <w:tcW w:w="9923" w:type="dxa"/>
            <w:gridSpan w:val="3"/>
          </w:tcPr>
          <w:p w14:paraId="0EE3A532" w14:textId="77777777" w:rsidR="00A549C0" w:rsidRPr="004F5888" w:rsidRDefault="00A549C0" w:rsidP="004F5888">
            <w:pPr>
              <w:spacing w:after="0" w:line="240" w:lineRule="auto"/>
              <w:rPr>
                <w:rFonts w:ascii="Times New Roman" w:hAnsi="Times New Roman" w:cs="Times New Roman"/>
                <w:sz w:val="28"/>
                <w:szCs w:val="28"/>
              </w:rPr>
            </w:pPr>
            <w:r w:rsidRPr="004F5888">
              <w:rPr>
                <w:rFonts w:ascii="Times New Roman" w:eastAsia="Times New Roman" w:hAnsi="Times New Roman" w:cs="Times New Roman"/>
                <w:color w:val="000000" w:themeColor="text1"/>
                <w:sz w:val="28"/>
                <w:szCs w:val="28"/>
              </w:rPr>
              <w:t xml:space="preserve">    Задачи исследования ……………………………………………………..                                                                                          </w:t>
            </w:r>
          </w:p>
        </w:tc>
        <w:tc>
          <w:tcPr>
            <w:tcW w:w="356" w:type="dxa"/>
          </w:tcPr>
          <w:p w14:paraId="4E4518E6" w14:textId="77777777" w:rsidR="00A549C0" w:rsidRPr="004F5888" w:rsidRDefault="00A549C0" w:rsidP="004F5888">
            <w:pPr>
              <w:spacing w:after="0" w:line="240" w:lineRule="auto"/>
              <w:rPr>
                <w:rFonts w:ascii="Times New Roman" w:hAnsi="Times New Roman" w:cs="Times New Roman"/>
                <w:color w:val="000000" w:themeColor="text1"/>
                <w:sz w:val="28"/>
                <w:szCs w:val="28"/>
                <w:lang w:val="en-US"/>
              </w:rPr>
            </w:pPr>
            <w:r w:rsidRPr="004F5888">
              <w:rPr>
                <w:rFonts w:ascii="Times New Roman" w:hAnsi="Times New Roman" w:cs="Times New Roman"/>
                <w:color w:val="000000" w:themeColor="text1"/>
                <w:sz w:val="28"/>
                <w:szCs w:val="28"/>
                <w:lang w:val="en-US"/>
              </w:rPr>
              <w:t>6</w:t>
            </w:r>
          </w:p>
        </w:tc>
      </w:tr>
      <w:tr w:rsidR="00A549C0" w:rsidRPr="004F5888" w14:paraId="008834A0" w14:textId="77777777" w:rsidTr="00415FCD">
        <w:tc>
          <w:tcPr>
            <w:tcW w:w="9923" w:type="dxa"/>
            <w:gridSpan w:val="3"/>
          </w:tcPr>
          <w:p w14:paraId="614A0DDA" w14:textId="77777777" w:rsidR="00A549C0" w:rsidRPr="004F5888" w:rsidRDefault="00A549C0" w:rsidP="004F5888">
            <w:pPr>
              <w:spacing w:after="0" w:line="240" w:lineRule="auto"/>
              <w:rPr>
                <w:rFonts w:ascii="Times New Roman" w:hAnsi="Times New Roman" w:cs="Times New Roman"/>
                <w:sz w:val="28"/>
                <w:szCs w:val="28"/>
              </w:rPr>
            </w:pPr>
            <w:r w:rsidRPr="004F5888">
              <w:rPr>
                <w:rFonts w:ascii="Times New Roman" w:eastAsia="Times New Roman" w:hAnsi="Times New Roman" w:cs="Times New Roman"/>
                <w:color w:val="000000" w:themeColor="text1"/>
                <w:sz w:val="28"/>
                <w:szCs w:val="28"/>
              </w:rPr>
              <w:t xml:space="preserve">    Научная новизна …………………………………………………………                                                                                                 </w:t>
            </w:r>
          </w:p>
        </w:tc>
        <w:tc>
          <w:tcPr>
            <w:tcW w:w="356" w:type="dxa"/>
          </w:tcPr>
          <w:p w14:paraId="71024E71" w14:textId="77777777" w:rsidR="00A549C0" w:rsidRPr="004F5888" w:rsidRDefault="00A549C0" w:rsidP="004F5888">
            <w:pPr>
              <w:spacing w:after="0" w:line="240" w:lineRule="auto"/>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6</w:t>
            </w:r>
          </w:p>
        </w:tc>
      </w:tr>
      <w:tr w:rsidR="00A549C0" w:rsidRPr="004F5888" w14:paraId="019D463F" w14:textId="77777777" w:rsidTr="00415FCD">
        <w:tc>
          <w:tcPr>
            <w:tcW w:w="9923" w:type="dxa"/>
            <w:gridSpan w:val="3"/>
          </w:tcPr>
          <w:p w14:paraId="04577D13" w14:textId="77777777" w:rsidR="00A549C0" w:rsidRPr="004F5888" w:rsidRDefault="00A549C0" w:rsidP="004F5888">
            <w:pPr>
              <w:spacing w:after="0" w:line="240" w:lineRule="auto"/>
              <w:rPr>
                <w:rFonts w:ascii="Times New Roman" w:hAnsi="Times New Roman" w:cs="Times New Roman"/>
                <w:sz w:val="28"/>
                <w:szCs w:val="28"/>
              </w:rPr>
            </w:pPr>
            <w:r w:rsidRPr="004F5888">
              <w:rPr>
                <w:rFonts w:ascii="Times New Roman" w:eastAsia="Times New Roman" w:hAnsi="Times New Roman" w:cs="Times New Roman"/>
                <w:color w:val="000000" w:themeColor="text1"/>
                <w:sz w:val="28"/>
                <w:szCs w:val="28"/>
              </w:rPr>
              <w:t xml:space="preserve">    Практическая значимость ………………………………………………..    </w:t>
            </w:r>
          </w:p>
        </w:tc>
        <w:tc>
          <w:tcPr>
            <w:tcW w:w="356" w:type="dxa"/>
          </w:tcPr>
          <w:p w14:paraId="2B65F60E" w14:textId="77777777" w:rsidR="00A549C0" w:rsidRPr="004F5888" w:rsidRDefault="00A549C0" w:rsidP="004F5888">
            <w:pPr>
              <w:spacing w:after="0" w:line="240" w:lineRule="auto"/>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6</w:t>
            </w:r>
          </w:p>
        </w:tc>
      </w:tr>
      <w:tr w:rsidR="00A549C0" w:rsidRPr="004F5888" w14:paraId="01F365F9" w14:textId="77777777" w:rsidTr="00415FCD">
        <w:tc>
          <w:tcPr>
            <w:tcW w:w="9923" w:type="dxa"/>
            <w:gridSpan w:val="3"/>
          </w:tcPr>
          <w:p w14:paraId="099C9A32" w14:textId="77777777" w:rsidR="00A549C0" w:rsidRPr="004F5888" w:rsidRDefault="00A549C0"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    Методы исследования ……………………………………………………                                                                                         </w:t>
            </w:r>
          </w:p>
        </w:tc>
        <w:tc>
          <w:tcPr>
            <w:tcW w:w="356" w:type="dxa"/>
          </w:tcPr>
          <w:p w14:paraId="57D42DF1" w14:textId="77777777" w:rsidR="00A549C0" w:rsidRPr="004F5888" w:rsidRDefault="00A549C0" w:rsidP="004F5888">
            <w:pPr>
              <w:spacing w:after="0" w:line="240" w:lineRule="auto"/>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6</w:t>
            </w:r>
          </w:p>
        </w:tc>
      </w:tr>
      <w:tr w:rsidR="00A549C0" w:rsidRPr="004F5888" w14:paraId="1F023EF5" w14:textId="77777777" w:rsidTr="00415FCD">
        <w:tc>
          <w:tcPr>
            <w:tcW w:w="9923" w:type="dxa"/>
            <w:gridSpan w:val="3"/>
          </w:tcPr>
          <w:p w14:paraId="719BB8C0" w14:textId="77777777" w:rsidR="00A549C0" w:rsidRPr="004F5888" w:rsidRDefault="00A549C0"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    Научные публикации и выступления ……………………………………                                                              </w:t>
            </w:r>
          </w:p>
        </w:tc>
        <w:tc>
          <w:tcPr>
            <w:tcW w:w="356" w:type="dxa"/>
          </w:tcPr>
          <w:p w14:paraId="7E0B9FE6" w14:textId="77777777" w:rsidR="00A549C0" w:rsidRPr="004F5888" w:rsidRDefault="00A549C0" w:rsidP="004F5888">
            <w:pPr>
              <w:spacing w:after="0" w:line="240" w:lineRule="auto"/>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7</w:t>
            </w:r>
          </w:p>
        </w:tc>
      </w:tr>
      <w:tr w:rsidR="00A549C0" w:rsidRPr="004F5888" w14:paraId="446E4CBC" w14:textId="77777777" w:rsidTr="00415FCD">
        <w:tc>
          <w:tcPr>
            <w:tcW w:w="9923" w:type="dxa"/>
            <w:gridSpan w:val="3"/>
          </w:tcPr>
          <w:p w14:paraId="141DF2F2" w14:textId="0041AA05" w:rsidR="00A549C0"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Г</w:t>
            </w:r>
            <w:r w:rsidR="00A549C0" w:rsidRPr="004F5888">
              <w:rPr>
                <w:rFonts w:ascii="Times New Roman" w:eastAsia="Times New Roman" w:hAnsi="Times New Roman" w:cs="Times New Roman"/>
                <w:color w:val="000000" w:themeColor="text1"/>
                <w:sz w:val="28"/>
                <w:szCs w:val="28"/>
              </w:rPr>
              <w:t xml:space="preserve">ЛАВА 1. </w:t>
            </w:r>
            <w:r w:rsidR="00A549C0" w:rsidRPr="004F5888">
              <w:rPr>
                <w:rFonts w:ascii="Times New Roman" w:hAnsi="Times New Roman" w:cs="Times New Roman"/>
                <w:b/>
                <w:bCs/>
                <w:sz w:val="28"/>
                <w:szCs w:val="28"/>
              </w:rPr>
              <w:t xml:space="preserve"> ФАКТ</w:t>
            </w:r>
            <w:r w:rsidRPr="004F5888">
              <w:rPr>
                <w:rFonts w:ascii="Times New Roman" w:hAnsi="Times New Roman" w:cs="Times New Roman"/>
                <w:b/>
                <w:bCs/>
                <w:sz w:val="28"/>
                <w:szCs w:val="28"/>
              </w:rPr>
              <w:t>ОРЫ РАЗВИТИЯ БОЛЕЗНИ АЛЬЦГЕЙМЕР</w:t>
            </w:r>
            <w:r w:rsidR="00E37292" w:rsidRPr="004F5888">
              <w:rPr>
                <w:rFonts w:ascii="Times New Roman" w:hAnsi="Times New Roman" w:cs="Times New Roman"/>
                <w:b/>
                <w:bCs/>
                <w:sz w:val="28"/>
                <w:szCs w:val="28"/>
              </w:rPr>
              <w:t>А</w:t>
            </w:r>
            <w:r w:rsidR="00A549C0" w:rsidRPr="004F5888">
              <w:rPr>
                <w:rFonts w:ascii="Times New Roman" w:eastAsia="Times New Roman" w:hAnsi="Times New Roman" w:cs="Times New Roman"/>
                <w:color w:val="000000" w:themeColor="text1"/>
                <w:sz w:val="28"/>
                <w:szCs w:val="28"/>
              </w:rPr>
              <w:t xml:space="preserve">                                                                                                        </w:t>
            </w:r>
          </w:p>
        </w:tc>
        <w:tc>
          <w:tcPr>
            <w:tcW w:w="356" w:type="dxa"/>
            <w:vAlign w:val="bottom"/>
          </w:tcPr>
          <w:p w14:paraId="5BFDE6A2" w14:textId="77777777" w:rsidR="00A549C0" w:rsidRPr="004F5888" w:rsidRDefault="00A549C0" w:rsidP="004F5888">
            <w:pPr>
              <w:spacing w:after="0" w:line="240" w:lineRule="auto"/>
              <w:rPr>
                <w:rFonts w:ascii="Times New Roman" w:hAnsi="Times New Roman" w:cs="Times New Roman"/>
                <w:color w:val="000000" w:themeColor="text1"/>
                <w:sz w:val="28"/>
                <w:szCs w:val="28"/>
              </w:rPr>
            </w:pPr>
          </w:p>
          <w:p w14:paraId="3685C1F3" w14:textId="74798FB5" w:rsidR="00A549C0" w:rsidRPr="004F5888" w:rsidRDefault="00A549C0" w:rsidP="004F5888">
            <w:pPr>
              <w:spacing w:after="0" w:line="240" w:lineRule="auto"/>
              <w:rPr>
                <w:rFonts w:ascii="Times New Roman" w:hAnsi="Times New Roman" w:cs="Times New Roman"/>
                <w:color w:val="000000" w:themeColor="text1"/>
                <w:sz w:val="28"/>
                <w:szCs w:val="28"/>
              </w:rPr>
            </w:pPr>
          </w:p>
        </w:tc>
      </w:tr>
      <w:tr w:rsidR="00E42077" w:rsidRPr="004F5888" w14:paraId="2668560B" w14:textId="77777777" w:rsidTr="00415FCD">
        <w:tc>
          <w:tcPr>
            <w:tcW w:w="9923" w:type="dxa"/>
            <w:gridSpan w:val="3"/>
          </w:tcPr>
          <w:p w14:paraId="6680B121" w14:textId="6FF76640"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1.1 Генетическая предрпасположенность…………………                        </w:t>
            </w:r>
          </w:p>
        </w:tc>
        <w:tc>
          <w:tcPr>
            <w:tcW w:w="356" w:type="dxa"/>
          </w:tcPr>
          <w:p w14:paraId="721839A5" w14:textId="77777777"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5ED4471C" w14:textId="011A8E4E" w:rsidTr="00415FCD">
        <w:trPr>
          <w:gridAfter w:val="2"/>
          <w:wAfter w:w="2891" w:type="dxa"/>
        </w:trPr>
        <w:tc>
          <w:tcPr>
            <w:tcW w:w="6521" w:type="dxa"/>
          </w:tcPr>
          <w:p w14:paraId="2C374163" w14:textId="292A77BE" w:rsidR="00E42077" w:rsidRPr="004F5888" w:rsidRDefault="00E42077" w:rsidP="004F5888">
            <w:pPr>
              <w:spacing w:after="0" w:line="240" w:lineRule="auto"/>
              <w:rPr>
                <w:rFonts w:ascii="Times New Roman" w:hAnsi="Times New Roman" w:cs="Times New Roman"/>
                <w:color w:val="000000" w:themeColor="text1"/>
                <w:sz w:val="28"/>
                <w:szCs w:val="28"/>
              </w:rPr>
            </w:pPr>
            <w:r w:rsidRPr="004F5888">
              <w:rPr>
                <w:rFonts w:ascii="Times New Roman" w:hAnsi="Times New Roman" w:cs="Times New Roman"/>
                <w:sz w:val="28"/>
                <w:szCs w:val="28"/>
                <w:shd w:val="clear" w:color="auto" w:fill="FFFFFF"/>
              </w:rPr>
              <w:t>1.2 Образ жизни</w:t>
            </w:r>
            <w:r w:rsidRPr="004F5888">
              <w:rPr>
                <w:rFonts w:ascii="Times New Roman" w:eastAsia="Times New Roman" w:hAnsi="Times New Roman" w:cs="Times New Roman"/>
                <w:color w:val="000000" w:themeColor="text1"/>
                <w:sz w:val="28"/>
                <w:szCs w:val="28"/>
              </w:rPr>
              <w:t xml:space="preserve">……………………………….                                           </w:t>
            </w:r>
          </w:p>
        </w:tc>
        <w:tc>
          <w:tcPr>
            <w:tcW w:w="867" w:type="dxa"/>
          </w:tcPr>
          <w:p w14:paraId="72D1ECEC" w14:textId="77777777" w:rsidR="00E42077" w:rsidRPr="004F5888" w:rsidRDefault="00E42077" w:rsidP="004F5888">
            <w:pPr>
              <w:spacing w:after="0" w:line="240" w:lineRule="auto"/>
              <w:rPr>
                <w:rFonts w:ascii="Times New Roman" w:hAnsi="Times New Roman" w:cs="Times New Roman"/>
                <w:sz w:val="28"/>
                <w:szCs w:val="28"/>
              </w:rPr>
            </w:pPr>
          </w:p>
        </w:tc>
      </w:tr>
      <w:tr w:rsidR="00E42077" w:rsidRPr="004F5888" w14:paraId="5AD95A08" w14:textId="77777777" w:rsidTr="00415FCD">
        <w:tc>
          <w:tcPr>
            <w:tcW w:w="9923" w:type="dxa"/>
            <w:gridSpan w:val="3"/>
          </w:tcPr>
          <w:p w14:paraId="5682B0BF" w14:textId="105665F3"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1.3 </w:t>
            </w:r>
            <w:r w:rsidRPr="004F5888">
              <w:rPr>
                <w:rFonts w:ascii="Times New Roman" w:hAnsi="Times New Roman" w:cs="Times New Roman"/>
                <w:sz w:val="28"/>
                <w:szCs w:val="28"/>
              </w:rPr>
              <w:t xml:space="preserve"> Пол и возраст</w:t>
            </w:r>
            <w:r w:rsidRPr="004F5888">
              <w:rPr>
                <w:rFonts w:ascii="Times New Roman" w:eastAsia="Times New Roman" w:hAnsi="Times New Roman" w:cs="Times New Roman"/>
                <w:color w:val="000000" w:themeColor="text1"/>
                <w:sz w:val="28"/>
                <w:szCs w:val="28"/>
              </w:rPr>
              <w:t xml:space="preserve">……………               </w:t>
            </w:r>
          </w:p>
        </w:tc>
        <w:tc>
          <w:tcPr>
            <w:tcW w:w="356" w:type="dxa"/>
          </w:tcPr>
          <w:p w14:paraId="6EC3712A" w14:textId="503AD490"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200CBA2A" w14:textId="77777777" w:rsidTr="00415FCD">
        <w:tc>
          <w:tcPr>
            <w:tcW w:w="9923" w:type="dxa"/>
            <w:gridSpan w:val="3"/>
          </w:tcPr>
          <w:p w14:paraId="5F5FD5D2" w14:textId="74F4E308" w:rsidR="00E42077" w:rsidRPr="004F5888" w:rsidRDefault="00E42077" w:rsidP="004F5888">
            <w:pPr>
              <w:spacing w:after="0" w:line="240" w:lineRule="auto"/>
              <w:jc w:val="both"/>
              <w:rPr>
                <w:rFonts w:ascii="Times New Roman" w:hAnsi="Times New Roman" w:cs="Times New Roman"/>
                <w:sz w:val="28"/>
                <w:szCs w:val="28"/>
                <w:shd w:val="clear" w:color="auto" w:fill="FFFFFF"/>
              </w:rPr>
            </w:pPr>
            <w:r w:rsidRPr="004F5888">
              <w:rPr>
                <w:rFonts w:ascii="Times New Roman" w:eastAsia="Times New Roman" w:hAnsi="Times New Roman" w:cs="Times New Roman"/>
                <w:color w:val="000000" w:themeColor="text1"/>
                <w:sz w:val="28"/>
                <w:szCs w:val="28"/>
              </w:rPr>
              <w:t xml:space="preserve">1.4 </w:t>
            </w:r>
            <w:r w:rsidRPr="004F5888">
              <w:rPr>
                <w:rFonts w:ascii="Times New Roman" w:hAnsi="Times New Roman" w:cs="Times New Roman"/>
                <w:sz w:val="28"/>
                <w:szCs w:val="28"/>
              </w:rPr>
              <w:t xml:space="preserve"> Биологические факторы</w:t>
            </w:r>
            <w:r w:rsidRPr="004F5888">
              <w:rPr>
                <w:rFonts w:ascii="Times New Roman" w:eastAsia="Times New Roman" w:hAnsi="Times New Roman" w:cs="Times New Roman"/>
                <w:color w:val="000000" w:themeColor="text1"/>
                <w:sz w:val="28"/>
                <w:szCs w:val="28"/>
              </w:rPr>
              <w:t xml:space="preserve"> …………………………..                                   </w:t>
            </w:r>
          </w:p>
        </w:tc>
        <w:tc>
          <w:tcPr>
            <w:tcW w:w="356" w:type="dxa"/>
          </w:tcPr>
          <w:p w14:paraId="7A9ACF39" w14:textId="42664EA5"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2734B8E8" w14:textId="77777777" w:rsidTr="00415FCD">
        <w:tc>
          <w:tcPr>
            <w:tcW w:w="9923" w:type="dxa"/>
            <w:gridSpan w:val="3"/>
          </w:tcPr>
          <w:p w14:paraId="6EDDC3A7" w14:textId="77777777" w:rsidR="00E42077" w:rsidRPr="004F5888" w:rsidRDefault="00E42077" w:rsidP="004F5888">
            <w:pPr>
              <w:spacing w:after="0" w:line="240" w:lineRule="auto"/>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 xml:space="preserve">1.5 </w:t>
            </w:r>
            <w:r w:rsidRPr="004F5888">
              <w:rPr>
                <w:rFonts w:ascii="Times New Roman" w:hAnsi="Times New Roman" w:cs="Times New Roman"/>
                <w:sz w:val="28"/>
                <w:szCs w:val="28"/>
                <w:shd w:val="clear" w:color="auto" w:fill="FFFFFF"/>
              </w:rPr>
              <w:t xml:space="preserve"> Диагностика</w:t>
            </w:r>
            <w:r w:rsidRPr="004F5888">
              <w:rPr>
                <w:rFonts w:ascii="Times New Roman" w:hAnsi="Times New Roman" w:cs="Times New Roman"/>
                <w:color w:val="000000" w:themeColor="text1"/>
                <w:sz w:val="28"/>
                <w:szCs w:val="28"/>
              </w:rPr>
              <w:t xml:space="preserve"> …………………………… </w:t>
            </w:r>
          </w:p>
          <w:p w14:paraId="4CA7D5B4" w14:textId="77777777" w:rsidR="00E42077" w:rsidRPr="004F5888" w:rsidRDefault="00E42077" w:rsidP="004F5888">
            <w:pPr>
              <w:spacing w:after="0" w:line="240" w:lineRule="auto"/>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 xml:space="preserve">1.6  </w:t>
            </w:r>
            <w:r w:rsidRPr="004F5888">
              <w:rPr>
                <w:rFonts w:ascii="Times New Roman" w:hAnsi="Times New Roman" w:cs="Times New Roman"/>
                <w:bCs/>
                <w:sz w:val="28"/>
                <w:szCs w:val="28"/>
              </w:rPr>
              <w:t xml:space="preserve"> Недостатки лечения БА в Казахстане</w:t>
            </w:r>
            <w:r w:rsidRPr="004F5888">
              <w:rPr>
                <w:rFonts w:ascii="Times New Roman" w:hAnsi="Times New Roman" w:cs="Times New Roman"/>
                <w:color w:val="000000" w:themeColor="text1"/>
                <w:sz w:val="28"/>
                <w:szCs w:val="28"/>
              </w:rPr>
              <w:t xml:space="preserve">…………………………… </w:t>
            </w:r>
          </w:p>
          <w:p w14:paraId="5DBE33EE" w14:textId="77777777" w:rsidR="00E42077" w:rsidRPr="004F5888" w:rsidRDefault="00E42077" w:rsidP="004F5888">
            <w:pPr>
              <w:spacing w:after="0" w:line="240" w:lineRule="auto"/>
              <w:jc w:val="both"/>
              <w:rPr>
                <w:rFonts w:ascii="Times New Roman" w:eastAsia="Times New Roman" w:hAnsi="Times New Roman" w:cs="Times New Roman"/>
                <w:color w:val="000000" w:themeColor="text1"/>
                <w:sz w:val="28"/>
                <w:szCs w:val="28"/>
              </w:rPr>
            </w:pPr>
            <w:r w:rsidRPr="004F5888">
              <w:rPr>
                <w:rFonts w:ascii="Times New Roman" w:hAnsi="Times New Roman" w:cs="Times New Roman"/>
                <w:bCs/>
                <w:sz w:val="28"/>
                <w:szCs w:val="28"/>
              </w:rPr>
              <w:t>1.7   Инструменты оценки когнитивных функций</w:t>
            </w:r>
            <w:r w:rsidRPr="004F5888">
              <w:rPr>
                <w:rFonts w:ascii="Times New Roman" w:eastAsia="Times New Roman" w:hAnsi="Times New Roman" w:cs="Times New Roman"/>
                <w:color w:val="000000" w:themeColor="text1"/>
                <w:sz w:val="28"/>
                <w:szCs w:val="28"/>
              </w:rPr>
              <w:t>……………</w:t>
            </w:r>
          </w:p>
          <w:p w14:paraId="234EABDC" w14:textId="64DB0D9F" w:rsidR="00E42077" w:rsidRPr="004F5888" w:rsidRDefault="00E42077"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bCs/>
                <w:sz w:val="28"/>
                <w:szCs w:val="28"/>
              </w:rPr>
              <w:t xml:space="preserve">1.8  Профилактика. Программы ментального здоровья в разных странах. </w:t>
            </w:r>
            <w:r w:rsidRPr="004F5888">
              <w:rPr>
                <w:rFonts w:ascii="Times New Roman" w:hAnsi="Times New Roman" w:cs="Times New Roman"/>
                <w:color w:val="000000" w:themeColor="text1"/>
                <w:sz w:val="28"/>
                <w:szCs w:val="28"/>
              </w:rPr>
              <w:t xml:space="preserve">                              </w:t>
            </w:r>
          </w:p>
        </w:tc>
        <w:tc>
          <w:tcPr>
            <w:tcW w:w="356" w:type="dxa"/>
          </w:tcPr>
          <w:p w14:paraId="1C23DF28" w14:textId="5E51E4A4"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3BC49F2F" w14:textId="77777777" w:rsidTr="00415FCD">
        <w:tc>
          <w:tcPr>
            <w:tcW w:w="9923" w:type="dxa"/>
            <w:gridSpan w:val="3"/>
          </w:tcPr>
          <w:p w14:paraId="2CA658AD" w14:textId="072217F2"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b/>
                <w:color w:val="000000" w:themeColor="text1"/>
                <w:sz w:val="28"/>
                <w:szCs w:val="28"/>
              </w:rPr>
              <w:t>ГЛАВА 2. СОЦИОЛОГИЧЕСКОЕ ИССЛЕДОВАНИЕ ОЦЕНКА КОГНИТИВНЫХ ФУНКЦИЙ  НАСЕЛЕНИЯ ГОРОДА СТАРШЕ 40 ЛЕТ КАРАГАНДЫ</w:t>
            </w:r>
            <w:r w:rsidRPr="004F5888">
              <w:rPr>
                <w:rFonts w:ascii="Times New Roman" w:eastAsia="Times New Roman" w:hAnsi="Times New Roman" w:cs="Times New Roman"/>
                <w:color w:val="000000" w:themeColor="text1"/>
                <w:sz w:val="28"/>
                <w:szCs w:val="28"/>
              </w:rPr>
              <w:t xml:space="preserve"> …………………………………...                                                              </w:t>
            </w:r>
          </w:p>
        </w:tc>
        <w:tc>
          <w:tcPr>
            <w:tcW w:w="356" w:type="dxa"/>
            <w:vAlign w:val="bottom"/>
          </w:tcPr>
          <w:p w14:paraId="41FD5264" w14:textId="77777777" w:rsidR="00E42077" w:rsidRPr="004F5888" w:rsidRDefault="00E42077" w:rsidP="004F5888">
            <w:pPr>
              <w:spacing w:after="0" w:line="240" w:lineRule="auto"/>
              <w:rPr>
                <w:rFonts w:ascii="Times New Roman" w:hAnsi="Times New Roman" w:cs="Times New Roman"/>
                <w:color w:val="000000" w:themeColor="text1"/>
                <w:sz w:val="28"/>
                <w:szCs w:val="28"/>
              </w:rPr>
            </w:pPr>
          </w:p>
          <w:p w14:paraId="04A4A7C3" w14:textId="7A8E7482"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754B5D79" w14:textId="77777777" w:rsidTr="00415FCD">
        <w:tc>
          <w:tcPr>
            <w:tcW w:w="9923" w:type="dxa"/>
            <w:gridSpan w:val="3"/>
          </w:tcPr>
          <w:p w14:paraId="011BA286" w14:textId="182A1164" w:rsidR="00E42077" w:rsidRPr="004F5888" w:rsidRDefault="00E42077" w:rsidP="004F5888">
            <w:pPr>
              <w:spacing w:after="0" w:line="240" w:lineRule="auto"/>
              <w:jc w:val="both"/>
              <w:rPr>
                <w:rFonts w:ascii="Times New Roman" w:hAnsi="Times New Roman" w:cs="Times New Roman"/>
                <w:b/>
                <w:bCs/>
                <w:sz w:val="28"/>
                <w:szCs w:val="28"/>
              </w:rPr>
            </w:pPr>
            <w:r w:rsidRPr="004F5888">
              <w:rPr>
                <w:rFonts w:ascii="Times New Roman" w:eastAsia="Times New Roman" w:hAnsi="Times New Roman" w:cs="Times New Roman"/>
                <w:color w:val="000000" w:themeColor="text1"/>
                <w:sz w:val="28"/>
                <w:szCs w:val="28"/>
              </w:rPr>
              <w:t xml:space="preserve">2.1 Результаты анкетирования ……………………………………………...                                                                  </w:t>
            </w:r>
          </w:p>
        </w:tc>
        <w:tc>
          <w:tcPr>
            <w:tcW w:w="356" w:type="dxa"/>
          </w:tcPr>
          <w:p w14:paraId="1C3696FE" w14:textId="08508D53"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4815CF0C" w14:textId="77777777" w:rsidTr="00415FCD">
        <w:tc>
          <w:tcPr>
            <w:tcW w:w="9923" w:type="dxa"/>
            <w:gridSpan w:val="3"/>
          </w:tcPr>
          <w:p w14:paraId="674DD012" w14:textId="4ACACE57"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ВЫВОДЫ …………………………………………………………………….  </w:t>
            </w:r>
          </w:p>
        </w:tc>
        <w:tc>
          <w:tcPr>
            <w:tcW w:w="356" w:type="dxa"/>
          </w:tcPr>
          <w:p w14:paraId="00C95D88" w14:textId="402949ED"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41EAE514" w14:textId="77777777" w:rsidTr="00415FCD">
        <w:tc>
          <w:tcPr>
            <w:tcW w:w="9923" w:type="dxa"/>
            <w:gridSpan w:val="3"/>
          </w:tcPr>
          <w:p w14:paraId="07B4D263" w14:textId="6E755402"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РЕКОМЕНДАЦИИ ………………………………………………………….</w:t>
            </w:r>
          </w:p>
        </w:tc>
        <w:tc>
          <w:tcPr>
            <w:tcW w:w="356" w:type="dxa"/>
          </w:tcPr>
          <w:p w14:paraId="3EF7C26F" w14:textId="0A826289"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1CBB6C44" w14:textId="77777777" w:rsidTr="00415FCD">
        <w:tc>
          <w:tcPr>
            <w:tcW w:w="9923" w:type="dxa"/>
            <w:gridSpan w:val="3"/>
          </w:tcPr>
          <w:p w14:paraId="6B63186A" w14:textId="6CA3F550"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СПИСОК ИСПОЛЬЗОВАННОЙ ЛИТЕРАТУРЫ ………………………...                                               </w:t>
            </w:r>
          </w:p>
        </w:tc>
        <w:tc>
          <w:tcPr>
            <w:tcW w:w="356" w:type="dxa"/>
          </w:tcPr>
          <w:p w14:paraId="53AC86C7" w14:textId="56FCE025"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446A5F55" w14:textId="77777777" w:rsidTr="00415FCD">
        <w:tc>
          <w:tcPr>
            <w:tcW w:w="9923" w:type="dxa"/>
            <w:gridSpan w:val="3"/>
          </w:tcPr>
          <w:p w14:paraId="5D353CBA" w14:textId="4A1F0200"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ПРИЛОЖЕНИЕ 1 ……………………………………………………………                                                                                               </w:t>
            </w:r>
          </w:p>
        </w:tc>
        <w:tc>
          <w:tcPr>
            <w:tcW w:w="356" w:type="dxa"/>
          </w:tcPr>
          <w:p w14:paraId="5E67851C" w14:textId="4589537A"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78A21AF1" w14:textId="77777777" w:rsidTr="00415FCD">
        <w:tc>
          <w:tcPr>
            <w:tcW w:w="9923" w:type="dxa"/>
            <w:gridSpan w:val="3"/>
          </w:tcPr>
          <w:p w14:paraId="3FD829C1" w14:textId="6ED46EC3"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ПРИЛОЖЕНИЕ 2 ……………………………………………………………                                                                                                   </w:t>
            </w:r>
          </w:p>
        </w:tc>
        <w:tc>
          <w:tcPr>
            <w:tcW w:w="356" w:type="dxa"/>
          </w:tcPr>
          <w:p w14:paraId="62C69DD7" w14:textId="5CA28C6F" w:rsidR="00E42077" w:rsidRPr="004F5888" w:rsidRDefault="00E42077" w:rsidP="004F5888">
            <w:pPr>
              <w:spacing w:after="0" w:line="240" w:lineRule="auto"/>
              <w:rPr>
                <w:rFonts w:ascii="Times New Roman" w:hAnsi="Times New Roman" w:cs="Times New Roman"/>
                <w:color w:val="000000" w:themeColor="text1"/>
                <w:sz w:val="28"/>
                <w:szCs w:val="28"/>
              </w:rPr>
            </w:pPr>
          </w:p>
        </w:tc>
      </w:tr>
      <w:tr w:rsidR="00E42077" w:rsidRPr="004F5888" w14:paraId="63E09224" w14:textId="77777777" w:rsidTr="00415FCD">
        <w:tc>
          <w:tcPr>
            <w:tcW w:w="9923" w:type="dxa"/>
            <w:gridSpan w:val="3"/>
          </w:tcPr>
          <w:p w14:paraId="7DF08795" w14:textId="28577C21"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ПРИЛОЖЕНИЕ 3 ……………………………………………………………                                                                                                  </w:t>
            </w:r>
          </w:p>
        </w:tc>
        <w:tc>
          <w:tcPr>
            <w:tcW w:w="356" w:type="dxa"/>
          </w:tcPr>
          <w:p w14:paraId="0F8E5F09" w14:textId="71BDF5BD" w:rsidR="00E42077" w:rsidRPr="004F5888" w:rsidRDefault="00E42077" w:rsidP="004F5888">
            <w:pPr>
              <w:spacing w:after="0" w:line="240" w:lineRule="auto"/>
              <w:rPr>
                <w:rFonts w:ascii="Times New Roman" w:hAnsi="Times New Roman" w:cs="Times New Roman"/>
                <w:color w:val="000000" w:themeColor="text1"/>
                <w:sz w:val="28"/>
                <w:szCs w:val="28"/>
                <w:lang w:val="en-US"/>
              </w:rPr>
            </w:pPr>
          </w:p>
        </w:tc>
      </w:tr>
      <w:tr w:rsidR="00E42077" w:rsidRPr="004F5888" w14:paraId="11D448D3" w14:textId="77777777" w:rsidTr="00415FCD">
        <w:tc>
          <w:tcPr>
            <w:tcW w:w="9923" w:type="dxa"/>
            <w:gridSpan w:val="3"/>
          </w:tcPr>
          <w:p w14:paraId="39535FEC" w14:textId="297B7122"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p>
        </w:tc>
        <w:tc>
          <w:tcPr>
            <w:tcW w:w="356" w:type="dxa"/>
          </w:tcPr>
          <w:p w14:paraId="4E93A957" w14:textId="6B32F094" w:rsidR="00E42077" w:rsidRPr="004F5888" w:rsidRDefault="00E42077" w:rsidP="004F5888">
            <w:pPr>
              <w:spacing w:after="0" w:line="240" w:lineRule="auto"/>
              <w:rPr>
                <w:rFonts w:ascii="Times New Roman" w:hAnsi="Times New Roman" w:cs="Times New Roman"/>
                <w:color w:val="000000" w:themeColor="text1"/>
                <w:sz w:val="28"/>
                <w:szCs w:val="28"/>
                <w:lang w:val="en-US"/>
              </w:rPr>
            </w:pPr>
          </w:p>
        </w:tc>
      </w:tr>
      <w:tr w:rsidR="00E42077" w:rsidRPr="004F5888" w14:paraId="265F46D8" w14:textId="77777777" w:rsidTr="00415FCD">
        <w:tc>
          <w:tcPr>
            <w:tcW w:w="9923" w:type="dxa"/>
            <w:gridSpan w:val="3"/>
          </w:tcPr>
          <w:p w14:paraId="17FA6E71" w14:textId="7FAFE8DC" w:rsidR="00E42077" w:rsidRPr="004F5888" w:rsidRDefault="00E42077" w:rsidP="004F5888">
            <w:pPr>
              <w:spacing w:after="0" w:line="240" w:lineRule="auto"/>
              <w:rPr>
                <w:rFonts w:ascii="Times New Roman" w:eastAsia="Times New Roman" w:hAnsi="Times New Roman" w:cs="Times New Roman"/>
                <w:color w:val="000000" w:themeColor="text1"/>
                <w:sz w:val="28"/>
                <w:szCs w:val="28"/>
              </w:rPr>
            </w:pPr>
          </w:p>
        </w:tc>
        <w:tc>
          <w:tcPr>
            <w:tcW w:w="356" w:type="dxa"/>
          </w:tcPr>
          <w:p w14:paraId="7D6BA9D5" w14:textId="0C74402A" w:rsidR="00E42077" w:rsidRPr="004F5888" w:rsidRDefault="00E42077" w:rsidP="004F5888">
            <w:pPr>
              <w:spacing w:after="0" w:line="240" w:lineRule="auto"/>
              <w:rPr>
                <w:rFonts w:ascii="Times New Roman" w:hAnsi="Times New Roman" w:cs="Times New Roman"/>
                <w:color w:val="000000" w:themeColor="text1"/>
                <w:sz w:val="28"/>
                <w:szCs w:val="28"/>
              </w:rPr>
            </w:pPr>
          </w:p>
        </w:tc>
      </w:tr>
    </w:tbl>
    <w:p w14:paraId="07843754" w14:textId="77777777" w:rsidR="004F5888" w:rsidRDefault="004F5888" w:rsidP="004F5888">
      <w:pPr>
        <w:pStyle w:val="2"/>
        <w:spacing w:before="100" w:beforeAutospacing="1"/>
        <w:jc w:val="both"/>
        <w:rPr>
          <w:color w:val="0D0D0D" w:themeColor="text1" w:themeTint="F2"/>
          <w:sz w:val="28"/>
          <w:szCs w:val="28"/>
        </w:rPr>
      </w:pPr>
    </w:p>
    <w:p w14:paraId="41E48776" w14:textId="77777777" w:rsidR="004F5888" w:rsidRDefault="004F5888" w:rsidP="004F5888">
      <w:pPr>
        <w:pStyle w:val="2"/>
        <w:spacing w:before="100" w:beforeAutospacing="1"/>
        <w:jc w:val="both"/>
        <w:rPr>
          <w:color w:val="0D0D0D" w:themeColor="text1" w:themeTint="F2"/>
          <w:sz w:val="28"/>
          <w:szCs w:val="28"/>
        </w:rPr>
      </w:pPr>
    </w:p>
    <w:p w14:paraId="2A4EDB04" w14:textId="77777777" w:rsidR="004F5888" w:rsidRDefault="004F5888" w:rsidP="004F5888">
      <w:pPr>
        <w:pStyle w:val="2"/>
        <w:spacing w:before="100" w:beforeAutospacing="1"/>
        <w:jc w:val="both"/>
        <w:rPr>
          <w:color w:val="0D0D0D" w:themeColor="text1" w:themeTint="F2"/>
          <w:sz w:val="28"/>
          <w:szCs w:val="28"/>
        </w:rPr>
      </w:pPr>
    </w:p>
    <w:p w14:paraId="3DB501D2" w14:textId="77777777" w:rsidR="004F5888" w:rsidRDefault="004F5888" w:rsidP="004F5888">
      <w:pPr>
        <w:pStyle w:val="2"/>
        <w:spacing w:before="100" w:beforeAutospacing="1"/>
        <w:jc w:val="both"/>
        <w:rPr>
          <w:color w:val="0D0D0D" w:themeColor="text1" w:themeTint="F2"/>
          <w:sz w:val="28"/>
          <w:szCs w:val="28"/>
        </w:rPr>
      </w:pPr>
    </w:p>
    <w:p w14:paraId="63A805D9" w14:textId="77777777" w:rsidR="004F5888" w:rsidRDefault="004F5888" w:rsidP="004F5888">
      <w:pPr>
        <w:pStyle w:val="2"/>
        <w:spacing w:before="100" w:beforeAutospacing="1"/>
        <w:jc w:val="both"/>
        <w:rPr>
          <w:color w:val="0D0D0D" w:themeColor="text1" w:themeTint="F2"/>
          <w:sz w:val="28"/>
          <w:szCs w:val="28"/>
        </w:rPr>
      </w:pPr>
    </w:p>
    <w:p w14:paraId="3C55299B" w14:textId="77777777" w:rsidR="004F5888" w:rsidRDefault="004F5888" w:rsidP="004F5888">
      <w:pPr>
        <w:pStyle w:val="2"/>
        <w:spacing w:before="100" w:beforeAutospacing="1"/>
        <w:jc w:val="both"/>
        <w:rPr>
          <w:color w:val="0D0D0D" w:themeColor="text1" w:themeTint="F2"/>
          <w:sz w:val="28"/>
          <w:szCs w:val="28"/>
        </w:rPr>
      </w:pPr>
    </w:p>
    <w:p w14:paraId="258D4C65" w14:textId="77777777" w:rsidR="004F5888" w:rsidRDefault="004F5888" w:rsidP="004F5888">
      <w:pPr>
        <w:pStyle w:val="2"/>
        <w:spacing w:before="100" w:beforeAutospacing="1"/>
        <w:jc w:val="both"/>
        <w:rPr>
          <w:color w:val="0D0D0D" w:themeColor="text1" w:themeTint="F2"/>
          <w:sz w:val="28"/>
          <w:szCs w:val="28"/>
        </w:rPr>
      </w:pPr>
    </w:p>
    <w:p w14:paraId="3D716FB2" w14:textId="2A29ED9C" w:rsidR="00E7415B" w:rsidRPr="004F5888" w:rsidRDefault="00E7415B" w:rsidP="004F5888">
      <w:pPr>
        <w:pStyle w:val="2"/>
        <w:spacing w:before="100" w:beforeAutospacing="1"/>
        <w:jc w:val="both"/>
        <w:rPr>
          <w:color w:val="0D0D0D" w:themeColor="text1" w:themeTint="F2"/>
          <w:sz w:val="28"/>
          <w:szCs w:val="28"/>
        </w:rPr>
      </w:pPr>
      <w:r w:rsidRPr="004F5888">
        <w:rPr>
          <w:color w:val="0D0D0D" w:themeColor="text1" w:themeTint="F2"/>
          <w:sz w:val="28"/>
          <w:szCs w:val="28"/>
        </w:rPr>
        <w:t>ОБОЗНАЧЕНИЯ И СОКРАЩЕНИЯ</w:t>
      </w:r>
    </w:p>
    <w:p w14:paraId="43D6C1AD" w14:textId="77777777" w:rsidR="00E7415B" w:rsidRPr="004F5888" w:rsidRDefault="00E7415B" w:rsidP="004F5888">
      <w:pPr>
        <w:pStyle w:val="2"/>
        <w:spacing w:before="100" w:beforeAutospacing="1"/>
        <w:jc w:val="both"/>
        <w:rPr>
          <w:color w:val="0D0D0D" w:themeColor="text1" w:themeTint="F2"/>
          <w:sz w:val="28"/>
          <w:szCs w:val="28"/>
        </w:rPr>
      </w:pPr>
      <w:r w:rsidRPr="004F5888">
        <w:rPr>
          <w:color w:val="0D0D0D" w:themeColor="text1" w:themeTint="F2"/>
          <w:sz w:val="28"/>
          <w:szCs w:val="28"/>
        </w:rPr>
        <w:t>БА – Болезнь Альцгеймера</w:t>
      </w:r>
    </w:p>
    <w:p w14:paraId="3472AF0F"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3MS (Modified Mini-Mental State) — модифицированный мини-тест на психическое состояние. </w:t>
      </w:r>
    </w:p>
    <w:p w14:paraId="2EB29297"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6CIT (6-item Cognitive Impairment Test) — шестипозиционный тест на когнитивные нарушения. </w:t>
      </w:r>
    </w:p>
    <w:p w14:paraId="13AE70EB"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7MS (Seven Minute Screen) — тест для диагностики ранних проявлений деменции. </w:t>
      </w:r>
    </w:p>
    <w:p w14:paraId="262E947B"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ACE, ACE-R (Addenbrooke’s Cognitive Examination– Revised) — шкала исследования когнитивной функции Адденбрука и пересмотренная шкала Адденбрука. </w:t>
      </w:r>
    </w:p>
    <w:p w14:paraId="6402F37F"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ADAS-cog (Disease Assessment Scale — Cognitive Subscale) — шкала оценки болезни Альцгеймера — когнитивная подшкала. </w:t>
      </w:r>
    </w:p>
    <w:p w14:paraId="60442D8B"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ADDTC (California Alzheimer’s Diagnostic and Treatment Centers) — шкала оценки калифорнийских центров диагностики и лечения болезни Альцгеймера. </w:t>
      </w:r>
    </w:p>
    <w:p w14:paraId="3294289B"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AMT (Hodkinson’s Abbreviated Mental Test) — тест умственных способностей Ходкинсона. </w:t>
      </w:r>
    </w:p>
    <w:p w14:paraId="78E6867D"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ANAM GNS (Automated Neuropsychological Assessment Metrics General Neuropsychological Screening battery) — батарея автоматизированной скрининговой оценки общего нейропсихологического состояния. </w:t>
      </w:r>
    </w:p>
    <w:p w14:paraId="3EC274DA"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BDAE (Boston Diagnostic Aphasia Examination) — бостонская батарея диагностики афазии. </w:t>
      </w:r>
    </w:p>
    <w:p w14:paraId="4509AA62"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BVRT (Benton Visual Retention Test) — тест зрительной ретенции Бентона. </w:t>
      </w:r>
    </w:p>
    <w:p w14:paraId="1EDA4D9E"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CAMCI (Computer Assessment of Mild Cognitive Impairment) — Компьютеризованное Изучение Легких Когнитивных Нарушений. </w:t>
      </w:r>
    </w:p>
    <w:p w14:paraId="37E05BF9"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CAMCOG-R (Cambridge Cognitive Examination) — кембриджское когнитивное обследование. </w:t>
      </w:r>
    </w:p>
    <w:p w14:paraId="3535346D"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CDI (Child Depression Inventory) — набор тестов определения депрессии у ребенка. </w:t>
      </w:r>
    </w:p>
    <w:p w14:paraId="552912B0"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CDR-SB (Clinical Dementia Rating Scale–Sum of Boxes) — шкала оценки клинической деменции по сумме ячеек. CDT (Clock Drawing Test) — тест рисования часов. </w:t>
      </w:r>
    </w:p>
    <w:p w14:paraId="23BEC2A8"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CERAD-NP (Consortium to Establish a Register for Alzheimer’s Disease-Neuropsychological Battery) — батарея тестов консорциума по установлению нейропсихологических критериев болезни Альцгеймера. </w:t>
      </w:r>
    </w:p>
    <w:p w14:paraId="683E5CE7"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CIDS (Short Concord Informant Dementia Scale), — короткая шкала информанта для определения деменции Конкорда. </w:t>
      </w:r>
    </w:p>
    <w:p w14:paraId="3B7EFAC3"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CNSVS (Central Nervous System CNS Vital Signs) — шкалы определения жизненно важных симптомов центральной нервной системы. </w:t>
      </w:r>
    </w:p>
    <w:p w14:paraId="1166D373"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CVLT-II (California Verbal Learning Test) — калифорнийский тест на слухоречевую память.</w:t>
      </w:r>
    </w:p>
    <w:p w14:paraId="30CA96A1"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 FAB (Frontal Assessment Batter) — батарея тестов на лобную дисфункцию. </w:t>
      </w:r>
    </w:p>
    <w:p w14:paraId="67016CA3"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FCSRT (Free and Cued Selective Reminding Test) — свободный или упорядоченный тест избирательного напоминания. </w:t>
      </w:r>
    </w:p>
    <w:p w14:paraId="3CB1945D"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lastRenderedPageBreak/>
        <w:t>GPCOG (General Practitioner Assessment of Cognition) — определение когнитивных функций для врача общей практики.</w:t>
      </w:r>
    </w:p>
    <w:p w14:paraId="039583E3"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 Hachinski Score — шкала Хачинского. </w:t>
      </w:r>
    </w:p>
    <w:p w14:paraId="19F1559D"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IADLs (Activities of Daily Living/Instrumental Activities of Daily Living) — определение дневной активности / инструментальное определение дневной активности. </w:t>
      </w:r>
    </w:p>
    <w:p w14:paraId="5A6E19B6" w14:textId="77777777" w:rsidR="00BE7DC4" w:rsidRPr="004F5888" w:rsidRDefault="00BE7DC4" w:rsidP="004F5888">
      <w:pPr>
        <w:spacing w:after="0" w:line="240" w:lineRule="auto"/>
        <w:jc w:val="both"/>
        <w:rPr>
          <w:rFonts w:ascii="Times New Roman" w:hAnsi="Times New Roman" w:cs="Times New Roman"/>
          <w:sz w:val="28"/>
          <w:szCs w:val="28"/>
          <w:lang w:val="en-US"/>
        </w:rPr>
      </w:pPr>
      <w:proofErr w:type="spellStart"/>
      <w:r w:rsidRPr="004F5888">
        <w:rPr>
          <w:rFonts w:ascii="Times New Roman" w:hAnsi="Times New Roman" w:cs="Times New Roman"/>
          <w:sz w:val="28"/>
          <w:szCs w:val="28"/>
          <w:lang w:val="en-US"/>
        </w:rPr>
        <w:t>ImPACT</w:t>
      </w:r>
      <w:proofErr w:type="spellEnd"/>
      <w:r w:rsidRPr="004F5888">
        <w:rPr>
          <w:rFonts w:ascii="Times New Roman" w:hAnsi="Times New Roman" w:cs="Times New Roman"/>
          <w:sz w:val="28"/>
          <w:szCs w:val="28"/>
          <w:lang w:val="en-US"/>
        </w:rPr>
        <w:t xml:space="preserve">® (Impact Pediatric Administration and Interpretation Manual) — </w:t>
      </w:r>
      <w:r w:rsidRPr="004F5888">
        <w:rPr>
          <w:rFonts w:ascii="Times New Roman" w:hAnsi="Times New Roman" w:cs="Times New Roman"/>
          <w:sz w:val="28"/>
          <w:szCs w:val="28"/>
        </w:rPr>
        <w:t>компьютеризированная</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батарея</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нейропсихологических</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тестов</w:t>
      </w:r>
      <w:r w:rsidRPr="004F5888">
        <w:rPr>
          <w:rFonts w:ascii="Times New Roman" w:hAnsi="Times New Roman" w:cs="Times New Roman"/>
          <w:sz w:val="28"/>
          <w:szCs w:val="28"/>
          <w:lang w:val="en-US"/>
        </w:rPr>
        <w:t>.</w:t>
      </w:r>
    </w:p>
    <w:p w14:paraId="4CDD455D" w14:textId="77777777" w:rsidR="00BE7DC4" w:rsidRPr="004F5888" w:rsidRDefault="00BE7DC4" w:rsidP="004F5888">
      <w:pPr>
        <w:spacing w:after="0" w:line="240" w:lineRule="auto"/>
        <w:jc w:val="both"/>
        <w:rPr>
          <w:rFonts w:ascii="Times New Roman" w:hAnsi="Times New Roman" w:cs="Times New Roman"/>
          <w:sz w:val="28"/>
          <w:szCs w:val="28"/>
          <w:lang w:val="en-US"/>
        </w:rPr>
      </w:pPr>
      <w:r w:rsidRPr="004F5888">
        <w:rPr>
          <w:rFonts w:ascii="Times New Roman" w:hAnsi="Times New Roman" w:cs="Times New Roman"/>
          <w:sz w:val="28"/>
          <w:szCs w:val="28"/>
          <w:lang w:val="en-US"/>
        </w:rPr>
        <w:t xml:space="preserve"> IQCODE (Informant Questionnaire on Cognitive Decline in the Elderly) — </w:t>
      </w:r>
      <w:r w:rsidRPr="004F5888">
        <w:rPr>
          <w:rFonts w:ascii="Times New Roman" w:hAnsi="Times New Roman" w:cs="Times New Roman"/>
          <w:sz w:val="28"/>
          <w:szCs w:val="28"/>
        </w:rPr>
        <w:t>опросник</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информанта</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о</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когнитивном</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снижении</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у</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пожилых</w:t>
      </w:r>
      <w:r w:rsidRPr="004F5888">
        <w:rPr>
          <w:rFonts w:ascii="Times New Roman" w:hAnsi="Times New Roman" w:cs="Times New Roman"/>
          <w:sz w:val="28"/>
          <w:szCs w:val="28"/>
          <w:lang w:val="en-US"/>
        </w:rPr>
        <w:t>.</w:t>
      </w:r>
    </w:p>
    <w:p w14:paraId="5FBAF05A"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lang w:val="en-US"/>
        </w:rPr>
        <w:t xml:space="preserve"> Ishihara</w:t>
      </w:r>
      <w:r w:rsidRPr="004F5888">
        <w:rPr>
          <w:rFonts w:ascii="Times New Roman" w:hAnsi="Times New Roman" w:cs="Times New Roman"/>
          <w:sz w:val="28"/>
          <w:szCs w:val="28"/>
        </w:rPr>
        <w:t xml:space="preserve"> </w:t>
      </w:r>
      <w:r w:rsidRPr="004F5888">
        <w:rPr>
          <w:rFonts w:ascii="Times New Roman" w:hAnsi="Times New Roman" w:cs="Times New Roman"/>
          <w:sz w:val="28"/>
          <w:szCs w:val="28"/>
          <w:lang w:val="en-US"/>
        </w:rPr>
        <w:t>Color</w:t>
      </w:r>
      <w:r w:rsidRPr="004F5888">
        <w:rPr>
          <w:rFonts w:ascii="Times New Roman" w:hAnsi="Times New Roman" w:cs="Times New Roman"/>
          <w:sz w:val="28"/>
          <w:szCs w:val="28"/>
        </w:rPr>
        <w:t xml:space="preserve"> </w:t>
      </w:r>
      <w:r w:rsidRPr="004F5888">
        <w:rPr>
          <w:rFonts w:ascii="Times New Roman" w:hAnsi="Times New Roman" w:cs="Times New Roman"/>
          <w:sz w:val="28"/>
          <w:szCs w:val="28"/>
          <w:lang w:val="en-US"/>
        </w:rPr>
        <w:t>Test</w:t>
      </w:r>
      <w:r w:rsidRPr="004F5888">
        <w:rPr>
          <w:rFonts w:ascii="Times New Roman" w:hAnsi="Times New Roman" w:cs="Times New Roman"/>
          <w:sz w:val="28"/>
          <w:szCs w:val="28"/>
        </w:rPr>
        <w:t xml:space="preserve"> — тест на цветовую слепоту Ишихары. </w:t>
      </w:r>
    </w:p>
    <w:p w14:paraId="21A3984B" w14:textId="77777777" w:rsidR="00BE7DC4" w:rsidRPr="004F5888" w:rsidRDefault="00BE7DC4" w:rsidP="004F5888">
      <w:pPr>
        <w:spacing w:after="0" w:line="240" w:lineRule="auto"/>
        <w:jc w:val="both"/>
        <w:rPr>
          <w:rFonts w:ascii="Times New Roman" w:hAnsi="Times New Roman" w:cs="Times New Roman"/>
          <w:sz w:val="28"/>
          <w:szCs w:val="28"/>
          <w:lang w:val="en-US"/>
        </w:rPr>
      </w:pPr>
      <w:r w:rsidRPr="004F5888">
        <w:rPr>
          <w:rFonts w:ascii="Times New Roman" w:hAnsi="Times New Roman" w:cs="Times New Roman"/>
          <w:sz w:val="28"/>
          <w:szCs w:val="28"/>
          <w:lang w:val="en-US"/>
        </w:rPr>
        <w:t xml:space="preserve">JLO (Benton’s Orientation Test) — </w:t>
      </w:r>
      <w:r w:rsidRPr="004F5888">
        <w:rPr>
          <w:rFonts w:ascii="Times New Roman" w:hAnsi="Times New Roman" w:cs="Times New Roman"/>
          <w:sz w:val="28"/>
          <w:szCs w:val="28"/>
        </w:rPr>
        <w:t>тест</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ориентации</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Бентона</w:t>
      </w:r>
      <w:r w:rsidRPr="004F5888">
        <w:rPr>
          <w:rFonts w:ascii="Times New Roman" w:hAnsi="Times New Roman" w:cs="Times New Roman"/>
          <w:sz w:val="28"/>
          <w:szCs w:val="28"/>
          <w:lang w:val="en-US"/>
        </w:rPr>
        <w:t xml:space="preserve">. </w:t>
      </w:r>
    </w:p>
    <w:p w14:paraId="1C1648CB" w14:textId="77777777" w:rsidR="00BE7DC4" w:rsidRPr="004F5888" w:rsidRDefault="00BE7DC4" w:rsidP="004F5888">
      <w:pPr>
        <w:spacing w:after="0" w:line="240" w:lineRule="auto"/>
        <w:jc w:val="both"/>
        <w:rPr>
          <w:rFonts w:ascii="Times New Roman" w:hAnsi="Times New Roman" w:cs="Times New Roman"/>
          <w:sz w:val="28"/>
          <w:szCs w:val="28"/>
          <w:lang w:val="en-US"/>
        </w:rPr>
      </w:pPr>
      <w:r w:rsidRPr="004F5888">
        <w:rPr>
          <w:rFonts w:ascii="Times New Roman" w:hAnsi="Times New Roman" w:cs="Times New Roman"/>
          <w:sz w:val="28"/>
          <w:szCs w:val="28"/>
          <w:lang w:val="en-US"/>
        </w:rPr>
        <w:t xml:space="preserve">LLT-R (Location Learning Test) — </w:t>
      </w:r>
      <w:r w:rsidRPr="004F5888">
        <w:rPr>
          <w:rFonts w:ascii="Times New Roman" w:hAnsi="Times New Roman" w:cs="Times New Roman"/>
          <w:sz w:val="28"/>
          <w:szCs w:val="28"/>
        </w:rPr>
        <w:t>тест</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на</w:t>
      </w:r>
      <w:r w:rsidRPr="004F5888">
        <w:rPr>
          <w:rFonts w:ascii="Times New Roman" w:hAnsi="Times New Roman" w:cs="Times New Roman"/>
          <w:sz w:val="28"/>
          <w:szCs w:val="28"/>
          <w:lang w:val="en-US"/>
        </w:rPr>
        <w:t xml:space="preserve"> </w:t>
      </w:r>
      <w:r w:rsidRPr="004F5888">
        <w:rPr>
          <w:rFonts w:ascii="Times New Roman" w:hAnsi="Times New Roman" w:cs="Times New Roman"/>
          <w:sz w:val="28"/>
          <w:szCs w:val="28"/>
        </w:rPr>
        <w:t>местонахождение</w:t>
      </w:r>
      <w:r w:rsidRPr="004F5888">
        <w:rPr>
          <w:rFonts w:ascii="Times New Roman" w:hAnsi="Times New Roman" w:cs="Times New Roman"/>
          <w:sz w:val="28"/>
          <w:szCs w:val="28"/>
          <w:lang w:val="en-US"/>
        </w:rPr>
        <w:t xml:space="preserve">. </w:t>
      </w:r>
    </w:p>
    <w:p w14:paraId="1DF35B88"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Mini-Cog — скрининговый опросник для определения когнитивных нарушений.</w:t>
      </w:r>
    </w:p>
    <w:p w14:paraId="1C0B2456"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 MIS (Memory Impairment Screen) — скрининговое изучение нарушений памяти. </w:t>
      </w:r>
    </w:p>
    <w:p w14:paraId="727DA5FF"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MMSE (Mini-Mental State Examination) — малая шкала определения ментального статуса. </w:t>
      </w:r>
    </w:p>
    <w:p w14:paraId="59560EA9" w14:textId="77777777" w:rsidR="00BE7DC4" w:rsidRPr="004F5888" w:rsidRDefault="00BE7DC4"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MoCA (Montreal Cognitive Assessment) — монреальский опросник оценки когнитивных функций. </w:t>
      </w:r>
    </w:p>
    <w:p w14:paraId="20D0E4AA" w14:textId="4FB3ED0F" w:rsidR="00E7415B" w:rsidRPr="00684038" w:rsidRDefault="00E7415B" w:rsidP="004F5888">
      <w:pPr>
        <w:spacing w:after="0" w:line="240" w:lineRule="auto"/>
        <w:jc w:val="both"/>
        <w:rPr>
          <w:rFonts w:ascii="Times New Roman" w:hAnsi="Times New Roman" w:cs="Times New Roman"/>
          <w:sz w:val="28"/>
          <w:szCs w:val="28"/>
        </w:rPr>
      </w:pPr>
    </w:p>
    <w:p w14:paraId="449A25DA" w14:textId="68AAE805" w:rsidR="004F5888" w:rsidRPr="00684038" w:rsidRDefault="004F5888" w:rsidP="004F5888">
      <w:pPr>
        <w:spacing w:after="0" w:line="240" w:lineRule="auto"/>
        <w:jc w:val="both"/>
        <w:rPr>
          <w:rFonts w:ascii="Times New Roman" w:hAnsi="Times New Roman" w:cs="Times New Roman"/>
          <w:sz w:val="28"/>
          <w:szCs w:val="28"/>
        </w:rPr>
      </w:pPr>
    </w:p>
    <w:p w14:paraId="7F94011F" w14:textId="6BFC0562" w:rsidR="004F5888" w:rsidRPr="00684038" w:rsidRDefault="004F5888" w:rsidP="004F5888">
      <w:pPr>
        <w:spacing w:after="0" w:line="240" w:lineRule="auto"/>
        <w:jc w:val="both"/>
        <w:rPr>
          <w:rFonts w:ascii="Times New Roman" w:hAnsi="Times New Roman" w:cs="Times New Roman"/>
          <w:sz w:val="28"/>
          <w:szCs w:val="28"/>
        </w:rPr>
      </w:pPr>
    </w:p>
    <w:p w14:paraId="3E677C02" w14:textId="230D38DD" w:rsidR="004F5888" w:rsidRPr="00684038" w:rsidRDefault="004F5888" w:rsidP="004F5888">
      <w:pPr>
        <w:spacing w:after="0" w:line="240" w:lineRule="auto"/>
        <w:jc w:val="both"/>
        <w:rPr>
          <w:rFonts w:ascii="Times New Roman" w:hAnsi="Times New Roman" w:cs="Times New Roman"/>
          <w:sz w:val="28"/>
          <w:szCs w:val="28"/>
        </w:rPr>
      </w:pPr>
    </w:p>
    <w:p w14:paraId="4D4B2B7C" w14:textId="57D00C89" w:rsidR="004F5888" w:rsidRPr="00684038" w:rsidRDefault="004F5888" w:rsidP="004F5888">
      <w:pPr>
        <w:spacing w:after="0" w:line="240" w:lineRule="auto"/>
        <w:jc w:val="both"/>
        <w:rPr>
          <w:rFonts w:ascii="Times New Roman" w:hAnsi="Times New Roman" w:cs="Times New Roman"/>
          <w:sz w:val="28"/>
          <w:szCs w:val="28"/>
        </w:rPr>
      </w:pPr>
    </w:p>
    <w:p w14:paraId="637DD176" w14:textId="6CD99912" w:rsidR="004F5888" w:rsidRPr="00684038" w:rsidRDefault="004F5888" w:rsidP="004F5888">
      <w:pPr>
        <w:spacing w:after="0" w:line="240" w:lineRule="auto"/>
        <w:jc w:val="both"/>
        <w:rPr>
          <w:rFonts w:ascii="Times New Roman" w:hAnsi="Times New Roman" w:cs="Times New Roman"/>
          <w:sz w:val="28"/>
          <w:szCs w:val="28"/>
        </w:rPr>
      </w:pPr>
    </w:p>
    <w:p w14:paraId="72D23562" w14:textId="0556D589" w:rsidR="004F5888" w:rsidRPr="00684038" w:rsidRDefault="004F5888" w:rsidP="004F5888">
      <w:pPr>
        <w:spacing w:after="0" w:line="240" w:lineRule="auto"/>
        <w:jc w:val="both"/>
        <w:rPr>
          <w:rFonts w:ascii="Times New Roman" w:hAnsi="Times New Roman" w:cs="Times New Roman"/>
          <w:sz w:val="28"/>
          <w:szCs w:val="28"/>
        </w:rPr>
      </w:pPr>
    </w:p>
    <w:p w14:paraId="6F4A8FA8" w14:textId="1A76044A" w:rsidR="004F5888" w:rsidRPr="00684038" w:rsidRDefault="004F5888" w:rsidP="004F5888">
      <w:pPr>
        <w:spacing w:after="0" w:line="240" w:lineRule="auto"/>
        <w:jc w:val="both"/>
        <w:rPr>
          <w:rFonts w:ascii="Times New Roman" w:hAnsi="Times New Roman" w:cs="Times New Roman"/>
          <w:sz w:val="28"/>
          <w:szCs w:val="28"/>
        </w:rPr>
      </w:pPr>
    </w:p>
    <w:p w14:paraId="3C8F3FDC" w14:textId="5E919E81" w:rsidR="004F5888" w:rsidRPr="00684038" w:rsidRDefault="004F5888" w:rsidP="004F5888">
      <w:pPr>
        <w:spacing w:after="0" w:line="240" w:lineRule="auto"/>
        <w:jc w:val="both"/>
        <w:rPr>
          <w:rFonts w:ascii="Times New Roman" w:hAnsi="Times New Roman" w:cs="Times New Roman"/>
          <w:sz w:val="28"/>
          <w:szCs w:val="28"/>
        </w:rPr>
      </w:pPr>
    </w:p>
    <w:p w14:paraId="137AB4ED" w14:textId="657B9773" w:rsidR="004F5888" w:rsidRPr="00684038" w:rsidRDefault="004F5888" w:rsidP="004F5888">
      <w:pPr>
        <w:spacing w:after="0" w:line="240" w:lineRule="auto"/>
        <w:jc w:val="both"/>
        <w:rPr>
          <w:rFonts w:ascii="Times New Roman" w:hAnsi="Times New Roman" w:cs="Times New Roman"/>
          <w:sz w:val="28"/>
          <w:szCs w:val="28"/>
        </w:rPr>
      </w:pPr>
    </w:p>
    <w:p w14:paraId="516E0F30" w14:textId="06497A4F" w:rsidR="004F5888" w:rsidRPr="00684038" w:rsidRDefault="004F5888" w:rsidP="004F5888">
      <w:pPr>
        <w:spacing w:after="0" w:line="240" w:lineRule="auto"/>
        <w:jc w:val="both"/>
        <w:rPr>
          <w:rFonts w:ascii="Times New Roman" w:hAnsi="Times New Roman" w:cs="Times New Roman"/>
          <w:sz w:val="28"/>
          <w:szCs w:val="28"/>
        </w:rPr>
      </w:pPr>
    </w:p>
    <w:p w14:paraId="4BE5E252" w14:textId="4D28316A" w:rsidR="004F5888" w:rsidRPr="00684038" w:rsidRDefault="004F5888" w:rsidP="004F5888">
      <w:pPr>
        <w:spacing w:after="0" w:line="240" w:lineRule="auto"/>
        <w:jc w:val="both"/>
        <w:rPr>
          <w:rFonts w:ascii="Times New Roman" w:hAnsi="Times New Roman" w:cs="Times New Roman"/>
          <w:sz w:val="28"/>
          <w:szCs w:val="28"/>
        </w:rPr>
      </w:pPr>
    </w:p>
    <w:p w14:paraId="19FC903E" w14:textId="0936611C" w:rsidR="004F5888" w:rsidRPr="00684038" w:rsidRDefault="004F5888" w:rsidP="004F5888">
      <w:pPr>
        <w:spacing w:after="0" w:line="240" w:lineRule="auto"/>
        <w:jc w:val="both"/>
        <w:rPr>
          <w:rFonts w:ascii="Times New Roman" w:hAnsi="Times New Roman" w:cs="Times New Roman"/>
          <w:sz w:val="28"/>
          <w:szCs w:val="28"/>
        </w:rPr>
      </w:pPr>
    </w:p>
    <w:p w14:paraId="063826B3" w14:textId="333144FE" w:rsidR="004F5888" w:rsidRPr="00684038" w:rsidRDefault="004F5888" w:rsidP="004F5888">
      <w:pPr>
        <w:spacing w:after="0" w:line="240" w:lineRule="auto"/>
        <w:jc w:val="both"/>
        <w:rPr>
          <w:rFonts w:ascii="Times New Roman" w:hAnsi="Times New Roman" w:cs="Times New Roman"/>
          <w:sz w:val="28"/>
          <w:szCs w:val="28"/>
        </w:rPr>
      </w:pPr>
    </w:p>
    <w:p w14:paraId="0430A54F" w14:textId="594283CA" w:rsidR="004F5888" w:rsidRPr="00684038" w:rsidRDefault="004F5888" w:rsidP="004F5888">
      <w:pPr>
        <w:spacing w:after="0" w:line="240" w:lineRule="auto"/>
        <w:jc w:val="both"/>
        <w:rPr>
          <w:rFonts w:ascii="Times New Roman" w:hAnsi="Times New Roman" w:cs="Times New Roman"/>
          <w:sz w:val="28"/>
          <w:szCs w:val="28"/>
        </w:rPr>
      </w:pPr>
    </w:p>
    <w:p w14:paraId="67C6D025" w14:textId="512C0DA2" w:rsidR="004F5888" w:rsidRPr="00684038" w:rsidRDefault="004F5888" w:rsidP="004F5888">
      <w:pPr>
        <w:spacing w:after="0" w:line="240" w:lineRule="auto"/>
        <w:jc w:val="both"/>
        <w:rPr>
          <w:rFonts w:ascii="Times New Roman" w:hAnsi="Times New Roman" w:cs="Times New Roman"/>
          <w:sz w:val="28"/>
          <w:szCs w:val="28"/>
        </w:rPr>
      </w:pPr>
    </w:p>
    <w:p w14:paraId="2213D2CD" w14:textId="6D8AB8DE" w:rsidR="004F5888" w:rsidRPr="00684038" w:rsidRDefault="004F5888" w:rsidP="004F5888">
      <w:pPr>
        <w:spacing w:after="0" w:line="240" w:lineRule="auto"/>
        <w:jc w:val="both"/>
        <w:rPr>
          <w:rFonts w:ascii="Times New Roman" w:hAnsi="Times New Roman" w:cs="Times New Roman"/>
          <w:sz w:val="28"/>
          <w:szCs w:val="28"/>
        </w:rPr>
      </w:pPr>
    </w:p>
    <w:p w14:paraId="7DE317E7" w14:textId="0C18F17B" w:rsidR="004F5888" w:rsidRPr="00684038" w:rsidRDefault="004F5888" w:rsidP="004F5888">
      <w:pPr>
        <w:spacing w:after="0" w:line="240" w:lineRule="auto"/>
        <w:jc w:val="both"/>
        <w:rPr>
          <w:rFonts w:ascii="Times New Roman" w:hAnsi="Times New Roman" w:cs="Times New Roman"/>
          <w:sz w:val="28"/>
          <w:szCs w:val="28"/>
        </w:rPr>
      </w:pPr>
    </w:p>
    <w:p w14:paraId="33F4B933" w14:textId="4E71B83C" w:rsidR="004F5888" w:rsidRPr="00684038" w:rsidRDefault="004F5888" w:rsidP="004F5888">
      <w:pPr>
        <w:spacing w:after="0" w:line="240" w:lineRule="auto"/>
        <w:jc w:val="both"/>
        <w:rPr>
          <w:rFonts w:ascii="Times New Roman" w:hAnsi="Times New Roman" w:cs="Times New Roman"/>
          <w:sz w:val="28"/>
          <w:szCs w:val="28"/>
        </w:rPr>
      </w:pPr>
    </w:p>
    <w:p w14:paraId="7BB5C669" w14:textId="0789AA93" w:rsidR="004F5888" w:rsidRPr="00684038" w:rsidRDefault="004F5888" w:rsidP="004F5888">
      <w:pPr>
        <w:spacing w:after="0" w:line="240" w:lineRule="auto"/>
        <w:jc w:val="both"/>
        <w:rPr>
          <w:rFonts w:ascii="Times New Roman" w:hAnsi="Times New Roman" w:cs="Times New Roman"/>
          <w:sz w:val="28"/>
          <w:szCs w:val="28"/>
        </w:rPr>
      </w:pPr>
    </w:p>
    <w:p w14:paraId="52E8DF32" w14:textId="11AC1EAD" w:rsidR="004F5888" w:rsidRPr="00684038" w:rsidRDefault="004F5888" w:rsidP="004F5888">
      <w:pPr>
        <w:spacing w:after="0" w:line="240" w:lineRule="auto"/>
        <w:jc w:val="both"/>
        <w:rPr>
          <w:rFonts w:ascii="Times New Roman" w:eastAsia="Times New Roman" w:hAnsi="Times New Roman" w:cs="Times New Roman"/>
          <w:sz w:val="28"/>
          <w:szCs w:val="28"/>
        </w:rPr>
      </w:pPr>
    </w:p>
    <w:p w14:paraId="08E106EF" w14:textId="77777777" w:rsidR="00E7415B" w:rsidRPr="00684038" w:rsidRDefault="00E7415B" w:rsidP="004F5888">
      <w:pPr>
        <w:spacing w:after="0" w:line="240" w:lineRule="auto"/>
        <w:jc w:val="both"/>
        <w:rPr>
          <w:rFonts w:ascii="Times New Roman" w:eastAsia="Times New Roman" w:hAnsi="Times New Roman" w:cs="Times New Roman"/>
          <w:sz w:val="28"/>
          <w:szCs w:val="28"/>
        </w:rPr>
      </w:pPr>
    </w:p>
    <w:p w14:paraId="3BD3A2A4" w14:textId="77777777" w:rsidR="00E7415B" w:rsidRPr="00684038" w:rsidRDefault="00E7415B" w:rsidP="004F5888">
      <w:pPr>
        <w:spacing w:after="0" w:line="240" w:lineRule="auto"/>
        <w:jc w:val="both"/>
        <w:rPr>
          <w:rFonts w:ascii="Times New Roman" w:eastAsia="Times New Roman" w:hAnsi="Times New Roman" w:cs="Times New Roman"/>
          <w:sz w:val="28"/>
          <w:szCs w:val="28"/>
        </w:rPr>
      </w:pPr>
    </w:p>
    <w:p w14:paraId="411340AD" w14:textId="77777777" w:rsidR="00E7415B" w:rsidRPr="00684038" w:rsidRDefault="00E7415B" w:rsidP="004F5888">
      <w:pPr>
        <w:spacing w:after="0" w:line="240" w:lineRule="auto"/>
        <w:jc w:val="both"/>
        <w:rPr>
          <w:rFonts w:ascii="Times New Roman" w:eastAsia="Times New Roman" w:hAnsi="Times New Roman" w:cs="Times New Roman"/>
          <w:sz w:val="28"/>
          <w:szCs w:val="28"/>
        </w:rPr>
      </w:pPr>
    </w:p>
    <w:p w14:paraId="1AA4F12F" w14:textId="77777777" w:rsidR="00E7415B" w:rsidRPr="00684038" w:rsidRDefault="00E7415B" w:rsidP="004F5888">
      <w:pPr>
        <w:spacing w:after="0" w:line="240" w:lineRule="auto"/>
        <w:jc w:val="both"/>
        <w:rPr>
          <w:rFonts w:ascii="Times New Roman" w:eastAsia="Times New Roman" w:hAnsi="Times New Roman" w:cs="Times New Roman"/>
          <w:sz w:val="28"/>
          <w:szCs w:val="28"/>
        </w:rPr>
      </w:pPr>
    </w:p>
    <w:p w14:paraId="587B1FCD" w14:textId="1D540892" w:rsidR="00E42077" w:rsidRPr="00684038" w:rsidRDefault="00E42077" w:rsidP="004F5888">
      <w:pPr>
        <w:spacing w:after="0" w:line="240" w:lineRule="auto"/>
        <w:jc w:val="both"/>
        <w:rPr>
          <w:rFonts w:ascii="Times New Roman" w:eastAsia="Times New Roman" w:hAnsi="Times New Roman" w:cs="Times New Roman"/>
          <w:sz w:val="28"/>
          <w:szCs w:val="28"/>
        </w:rPr>
      </w:pPr>
    </w:p>
    <w:p w14:paraId="3BD99864" w14:textId="25B7F585" w:rsidR="00AC352A" w:rsidRPr="00684038" w:rsidRDefault="00AC352A" w:rsidP="004F5888">
      <w:pPr>
        <w:spacing w:after="0" w:line="240" w:lineRule="auto"/>
        <w:jc w:val="both"/>
        <w:rPr>
          <w:rFonts w:ascii="Times New Roman" w:eastAsia="Times New Roman" w:hAnsi="Times New Roman" w:cs="Times New Roman"/>
          <w:sz w:val="28"/>
          <w:szCs w:val="28"/>
        </w:rPr>
      </w:pPr>
    </w:p>
    <w:p w14:paraId="1D52A3D8" w14:textId="0664559C" w:rsidR="00AC352A" w:rsidRPr="00684038" w:rsidRDefault="00AC352A" w:rsidP="004F5888">
      <w:pPr>
        <w:spacing w:after="0" w:line="240" w:lineRule="auto"/>
        <w:jc w:val="both"/>
        <w:rPr>
          <w:rFonts w:ascii="Times New Roman" w:eastAsia="Times New Roman" w:hAnsi="Times New Roman" w:cs="Times New Roman"/>
          <w:sz w:val="28"/>
          <w:szCs w:val="28"/>
        </w:rPr>
      </w:pPr>
    </w:p>
    <w:p w14:paraId="523507BB" w14:textId="57766467" w:rsidR="00AC352A" w:rsidRPr="00684038" w:rsidRDefault="00AC352A" w:rsidP="004F5888">
      <w:pPr>
        <w:spacing w:after="0" w:line="240" w:lineRule="auto"/>
        <w:jc w:val="both"/>
        <w:rPr>
          <w:rFonts w:ascii="Times New Roman" w:eastAsia="Times New Roman" w:hAnsi="Times New Roman" w:cs="Times New Roman"/>
          <w:sz w:val="28"/>
          <w:szCs w:val="28"/>
        </w:rPr>
      </w:pPr>
    </w:p>
    <w:p w14:paraId="73F6AA97" w14:textId="58FB67A1" w:rsidR="00AC352A" w:rsidRPr="00684038" w:rsidRDefault="00AC352A" w:rsidP="004F5888">
      <w:pPr>
        <w:spacing w:after="0" w:line="240" w:lineRule="auto"/>
        <w:jc w:val="both"/>
        <w:rPr>
          <w:rFonts w:ascii="Times New Roman" w:eastAsia="Times New Roman" w:hAnsi="Times New Roman" w:cs="Times New Roman"/>
          <w:sz w:val="28"/>
          <w:szCs w:val="28"/>
        </w:rPr>
      </w:pPr>
    </w:p>
    <w:p w14:paraId="3FC3603C" w14:textId="454FA1FB" w:rsidR="00AC352A" w:rsidRPr="00684038" w:rsidRDefault="00AC352A" w:rsidP="004F5888">
      <w:pPr>
        <w:spacing w:after="0" w:line="240" w:lineRule="auto"/>
        <w:jc w:val="both"/>
        <w:rPr>
          <w:rFonts w:ascii="Times New Roman" w:eastAsia="Times New Roman" w:hAnsi="Times New Roman" w:cs="Times New Roman"/>
          <w:sz w:val="28"/>
          <w:szCs w:val="28"/>
        </w:rPr>
      </w:pPr>
    </w:p>
    <w:p w14:paraId="1B05FF44" w14:textId="501E8874" w:rsidR="00AC352A" w:rsidRPr="00684038" w:rsidRDefault="00AC352A" w:rsidP="004F5888">
      <w:pPr>
        <w:spacing w:after="0" w:line="240" w:lineRule="auto"/>
        <w:jc w:val="both"/>
        <w:rPr>
          <w:rFonts w:ascii="Times New Roman" w:eastAsia="Times New Roman" w:hAnsi="Times New Roman" w:cs="Times New Roman"/>
          <w:sz w:val="28"/>
          <w:szCs w:val="28"/>
        </w:rPr>
      </w:pPr>
    </w:p>
    <w:p w14:paraId="3E659F2F" w14:textId="5B98AE22" w:rsidR="00AC352A" w:rsidRPr="00684038" w:rsidRDefault="00AC352A" w:rsidP="004F5888">
      <w:pPr>
        <w:spacing w:after="0" w:line="240" w:lineRule="auto"/>
        <w:jc w:val="both"/>
        <w:rPr>
          <w:rFonts w:ascii="Times New Roman" w:eastAsia="Times New Roman" w:hAnsi="Times New Roman" w:cs="Times New Roman"/>
          <w:sz w:val="28"/>
          <w:szCs w:val="28"/>
        </w:rPr>
      </w:pPr>
    </w:p>
    <w:p w14:paraId="0B5D22F3" w14:textId="0F127A87" w:rsidR="00AC352A" w:rsidRPr="00684038" w:rsidRDefault="00AC352A" w:rsidP="004F5888">
      <w:pPr>
        <w:spacing w:after="0" w:line="240" w:lineRule="auto"/>
        <w:jc w:val="both"/>
        <w:rPr>
          <w:rFonts w:ascii="Times New Roman" w:eastAsia="Times New Roman" w:hAnsi="Times New Roman" w:cs="Times New Roman"/>
          <w:sz w:val="28"/>
          <w:szCs w:val="28"/>
        </w:rPr>
      </w:pPr>
    </w:p>
    <w:p w14:paraId="52F35400" w14:textId="5BEA5E5D" w:rsidR="00AC352A" w:rsidRPr="00684038" w:rsidRDefault="00AC352A" w:rsidP="004F5888">
      <w:pPr>
        <w:spacing w:after="0" w:line="240" w:lineRule="auto"/>
        <w:jc w:val="both"/>
        <w:rPr>
          <w:rFonts w:ascii="Times New Roman" w:eastAsia="Times New Roman" w:hAnsi="Times New Roman" w:cs="Times New Roman"/>
          <w:sz w:val="28"/>
          <w:szCs w:val="28"/>
        </w:rPr>
      </w:pPr>
    </w:p>
    <w:p w14:paraId="4932F1DF" w14:textId="4275DAEB" w:rsidR="00AC352A" w:rsidRPr="00684038" w:rsidRDefault="00AC352A" w:rsidP="004F5888">
      <w:pPr>
        <w:spacing w:after="0" w:line="240" w:lineRule="auto"/>
        <w:jc w:val="both"/>
        <w:rPr>
          <w:rFonts w:ascii="Times New Roman" w:eastAsia="Times New Roman" w:hAnsi="Times New Roman" w:cs="Times New Roman"/>
          <w:sz w:val="28"/>
          <w:szCs w:val="28"/>
        </w:rPr>
      </w:pPr>
    </w:p>
    <w:p w14:paraId="3E5C3A38" w14:textId="73324FCE" w:rsidR="00AC352A" w:rsidRPr="00684038" w:rsidRDefault="00AC352A" w:rsidP="004F5888">
      <w:pPr>
        <w:spacing w:after="0" w:line="240" w:lineRule="auto"/>
        <w:jc w:val="both"/>
        <w:rPr>
          <w:rFonts w:ascii="Times New Roman" w:eastAsia="Times New Roman" w:hAnsi="Times New Roman" w:cs="Times New Roman"/>
          <w:sz w:val="28"/>
          <w:szCs w:val="28"/>
        </w:rPr>
      </w:pPr>
    </w:p>
    <w:p w14:paraId="6C2C8D64" w14:textId="04392367" w:rsidR="00AC352A" w:rsidRPr="00684038" w:rsidRDefault="00AC352A" w:rsidP="004F5888">
      <w:pPr>
        <w:spacing w:after="0" w:line="240" w:lineRule="auto"/>
        <w:jc w:val="both"/>
        <w:rPr>
          <w:rFonts w:ascii="Times New Roman" w:eastAsia="Times New Roman" w:hAnsi="Times New Roman" w:cs="Times New Roman"/>
          <w:sz w:val="28"/>
          <w:szCs w:val="28"/>
        </w:rPr>
      </w:pPr>
    </w:p>
    <w:p w14:paraId="03D9A28C" w14:textId="72242B66" w:rsidR="00AC352A" w:rsidRPr="00684038" w:rsidRDefault="00AC352A" w:rsidP="004F5888">
      <w:pPr>
        <w:spacing w:after="0" w:line="240" w:lineRule="auto"/>
        <w:jc w:val="both"/>
        <w:rPr>
          <w:rFonts w:ascii="Times New Roman" w:eastAsia="Times New Roman" w:hAnsi="Times New Roman" w:cs="Times New Roman"/>
          <w:sz w:val="28"/>
          <w:szCs w:val="28"/>
        </w:rPr>
      </w:pPr>
    </w:p>
    <w:p w14:paraId="1E4346FE" w14:textId="02322326" w:rsidR="00E7415B" w:rsidRPr="004F5888" w:rsidRDefault="00E7415B" w:rsidP="004F5888">
      <w:pPr>
        <w:spacing w:after="0" w:line="240" w:lineRule="auto"/>
        <w:jc w:val="both"/>
        <w:rPr>
          <w:rFonts w:ascii="Times New Roman" w:eastAsia="Times New Roman" w:hAnsi="Times New Roman" w:cs="Times New Roman"/>
          <w:sz w:val="28"/>
          <w:szCs w:val="28"/>
        </w:rPr>
      </w:pPr>
      <w:bookmarkStart w:id="1" w:name="_Hlk71477673"/>
      <w:r w:rsidRPr="004F5888">
        <w:rPr>
          <w:rFonts w:ascii="Times New Roman" w:eastAsia="Times New Roman" w:hAnsi="Times New Roman" w:cs="Times New Roman"/>
          <w:b/>
          <w:sz w:val="28"/>
          <w:szCs w:val="28"/>
        </w:rPr>
        <w:t>ВВЕДЕНИЕ</w:t>
      </w:r>
    </w:p>
    <w:p w14:paraId="160743E2" w14:textId="77777777" w:rsidR="00E7415B" w:rsidRPr="004F5888" w:rsidRDefault="00E7415B" w:rsidP="004F5888">
      <w:pPr>
        <w:spacing w:after="0" w:line="240" w:lineRule="auto"/>
        <w:jc w:val="both"/>
        <w:rPr>
          <w:rFonts w:ascii="Times New Roman" w:eastAsia="Times New Roman" w:hAnsi="Times New Roman" w:cs="Times New Roman"/>
          <w:b/>
          <w:sz w:val="28"/>
          <w:szCs w:val="28"/>
        </w:rPr>
      </w:pPr>
    </w:p>
    <w:p w14:paraId="2FC40520" w14:textId="76F9A393" w:rsidR="00E7415B" w:rsidRPr="004F5888" w:rsidRDefault="00E7415B" w:rsidP="004F5888">
      <w:pPr>
        <w:shd w:val="clear" w:color="auto" w:fill="FFFFFF"/>
        <w:spacing w:after="0" w:line="240" w:lineRule="auto"/>
        <w:ind w:right="-1" w:firstLine="851"/>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t>1.1 Актуальность</w:t>
      </w:r>
    </w:p>
    <w:p w14:paraId="7AF27813" w14:textId="7C4F06F6" w:rsidR="00BD1496" w:rsidRPr="004F5888" w:rsidRDefault="00BD1496" w:rsidP="004F5888">
      <w:pPr>
        <w:shd w:val="clear" w:color="auto" w:fill="FFFFFF"/>
        <w:spacing w:after="0" w:line="240" w:lineRule="auto"/>
        <w:ind w:right="-1" w:firstLine="567"/>
        <w:jc w:val="both"/>
        <w:rPr>
          <w:rFonts w:ascii="Times New Roman" w:hAnsi="Times New Roman" w:cs="Times New Roman"/>
          <w:color w:val="000000" w:themeColor="text1"/>
          <w:sz w:val="28"/>
          <w:szCs w:val="28"/>
          <w:vertAlign w:val="superscript"/>
        </w:rPr>
      </w:pPr>
      <w:r w:rsidRPr="004F5888">
        <w:rPr>
          <w:rFonts w:ascii="Times New Roman" w:hAnsi="Times New Roman" w:cs="Times New Roman"/>
          <w:color w:val="000000" w:themeColor="text1"/>
          <w:sz w:val="28"/>
          <w:szCs w:val="28"/>
        </w:rPr>
        <w:t xml:space="preserve">Впервые группа слабоумия в классификации психозов была выделена в 1797 г. Филиппом Пинелем, автором термина «деменция» (от лат. demens – «без ума»). Ж.Э. Эскироль в своем труде «О душевных болезнях» (1838) дал описание «старческого слабоумия» (demence senile) как «поражения мозга с хроническим течением, ослаблением интеллекта, извращением чувств и воли», разделив его по течению на острое, хроническое и осложненное параличом. В 1892 г. при изучении патолого-анатомического субстрата деменций французские неврологи R. Oscar и Q. Marinesco описали сенильные бляшки. H. Creutzfeldt и A. Jakob обнаружили морфологические признаки губчатого «псевдосклероза». В 1902 г. чешский психиатр и невропатолог A. Pick выявил атипичный вариант старческого слабоумия с прогрессирующей афазией и морфологическими изменениями в виде локальной атрофии мозга (долевая «лобарная атрофия»). </w:t>
      </w:r>
      <w:r w:rsidRPr="00684038">
        <w:rPr>
          <w:rFonts w:ascii="Times New Roman" w:hAnsi="Times New Roman" w:cs="Times New Roman"/>
          <w:color w:val="000000" w:themeColor="text1"/>
          <w:sz w:val="28"/>
          <w:szCs w:val="28"/>
          <w:highlight w:val="yellow"/>
        </w:rPr>
        <w:t>В 1906 г. В настоящее время</w:t>
      </w:r>
      <w:r w:rsidRPr="004F5888">
        <w:rPr>
          <w:rFonts w:ascii="Times New Roman" w:hAnsi="Times New Roman" w:cs="Times New Roman"/>
          <w:color w:val="000000" w:themeColor="text1"/>
          <w:sz w:val="28"/>
          <w:szCs w:val="28"/>
        </w:rPr>
        <w:t xml:space="preserve"> отсутствует единая классификация специфических психических расстройств позднего возраста, что создает трудности в их диагностике и судебно-психиатрической оценке. Утрачены многие уникальные дефиниции, используемые ранее психиатрами при ее описании. Анализ существовавших прежде классификаций и типологий показывает их вариативность и различные точки зрения на место в них психических расстройств старости, как и на их отношение к процессам инволюции. Оценивается перспективность перехода на новую версию МКБ-11 в части объективизации психических расстройств позднего возраста. Ключевые слова: психические расстройства позднего возраста, классификация, деменции, психозы, болезнь Альцгеймера, геронтология, старость блок_РПЖ_2_2014_ 2_2014_правка.indd 50 indd 50 04.04.2014 17:19:56 4.04.2014 17:19:56 Российский психиатрический журнал № 2, 2014 51 Л.Е. Пищикова А. Альцгеймер у своей 50-летней пациентки описал тотальную деменцию с прогрессирующей потерей памяти, нарушениями процесса узнавания, речи, движения, непредсказуемым поведением и галлюцинациями, с морфологическими изменениями в головном мозге в виде нейрофибрилл и бляшек, на</w:t>
      </w:r>
      <w:r w:rsidR="004F5888">
        <w:rPr>
          <w:rFonts w:ascii="Times New Roman" w:hAnsi="Times New Roman" w:cs="Times New Roman"/>
          <w:color w:val="000000" w:themeColor="text1"/>
          <w:sz w:val="28"/>
          <w:szCs w:val="28"/>
        </w:rPr>
        <w:t xml:space="preserve">званную потом Э. Крепелиным </w:t>
      </w:r>
      <w:r w:rsidRPr="004F5888">
        <w:rPr>
          <w:rFonts w:ascii="Times New Roman" w:hAnsi="Times New Roman" w:cs="Times New Roman"/>
          <w:color w:val="000000" w:themeColor="text1"/>
          <w:sz w:val="28"/>
          <w:szCs w:val="28"/>
        </w:rPr>
        <w:t>болезнью Альцгеймера</w:t>
      </w:r>
      <w:r w:rsidR="00684038">
        <w:rPr>
          <w:rFonts w:ascii="Times New Roman" w:hAnsi="Times New Roman" w:cs="Times New Roman"/>
          <w:color w:val="000000" w:themeColor="text1"/>
          <w:sz w:val="28"/>
          <w:szCs w:val="28"/>
        </w:rPr>
        <w:t xml:space="preserve"> </w:t>
      </w:r>
      <w:r w:rsidR="00684038" w:rsidRPr="00684038">
        <w:rPr>
          <w:rFonts w:ascii="Times New Roman" w:hAnsi="Times New Roman" w:cs="Times New Roman"/>
          <w:color w:val="000000" w:themeColor="text1"/>
          <w:sz w:val="28"/>
          <w:szCs w:val="28"/>
          <w:highlight w:val="green"/>
        </w:rPr>
        <w:t>в каком году?</w:t>
      </w:r>
    </w:p>
    <w:p w14:paraId="0E05762B" w14:textId="77777777" w:rsidR="00E7415B" w:rsidRPr="004F5888" w:rsidRDefault="00E7415B" w:rsidP="004F5888">
      <w:pPr>
        <w:shd w:val="clear" w:color="auto" w:fill="FFFFFF"/>
        <w:spacing w:after="0" w:line="240" w:lineRule="auto"/>
        <w:ind w:right="-1" w:firstLine="709"/>
        <w:rPr>
          <w:rFonts w:ascii="Times New Roman" w:hAnsi="Times New Roman" w:cs="Times New Roman"/>
          <w:sz w:val="28"/>
          <w:szCs w:val="28"/>
        </w:rPr>
      </w:pPr>
      <w:r w:rsidRPr="004F5888">
        <w:rPr>
          <w:rFonts w:ascii="Times New Roman" w:hAnsi="Times New Roman" w:cs="Times New Roman"/>
          <w:sz w:val="28"/>
          <w:szCs w:val="28"/>
        </w:rPr>
        <w:lastRenderedPageBreak/>
        <w:t>Население планеты стареет. Достижения современной системы здравоохранения привели к тому, что люди стали жить дольше. Однако вместе с этим увеличивается число людей, страдающих неинфекционными заболеваниями. Одной из важных задач системы здравоохранения сегодня является сохранение здоровья старшего поколения и увеличение продолжительности активной жизни человека</w:t>
      </w:r>
    </w:p>
    <w:p w14:paraId="0293056C" w14:textId="51C8248F" w:rsidR="00E7415B" w:rsidRPr="004F5888" w:rsidRDefault="00E7415B" w:rsidP="004F5888">
      <w:pPr>
        <w:shd w:val="clear" w:color="auto" w:fill="FFFFFF"/>
        <w:spacing w:after="0" w:line="240" w:lineRule="auto"/>
        <w:ind w:right="-1" w:firstLine="709"/>
        <w:jc w:val="both"/>
        <w:rPr>
          <w:rFonts w:ascii="Times New Roman" w:hAnsi="Times New Roman" w:cs="Times New Roman"/>
          <w:sz w:val="28"/>
          <w:szCs w:val="28"/>
        </w:rPr>
      </w:pPr>
      <w:r w:rsidRPr="004F5888">
        <w:rPr>
          <w:rFonts w:ascii="Times New Roman" w:hAnsi="Times New Roman" w:cs="Times New Roman"/>
          <w:sz w:val="28"/>
          <w:szCs w:val="28"/>
        </w:rPr>
        <w:t>В стареющем обществе неуклонно растет медико-социальная значимость проблемы возраст-ассоциированных заболеваний, в частности когнитивных расстройств и деменции. Деменция – это синдром, который могут вызывать различные прогрессирующие расстройства, приводящие к ухудшению памяти, внимания, мышления, поведения и способности выполнять повседневные дела. Наибольшее проявление когнитивных нарушений отмечается в пожилом возрасте (преимущественно после 60 лет) на фоне нарушений работы головного мозга, вызванных в 60-70% случаев заболеваниями нервной системы (болезнь Альцгеймера и др.), у каждого пятого деменция связана с проблемами кровоснабжения мозга (инсульт, ишемия), также к деменции может привести артериальная гипертония или сахарный диабет. Но стоит помнить, что деменция не является нормальным состоянием старения.</w:t>
      </w:r>
      <w:r w:rsidR="00684038">
        <w:rPr>
          <w:rFonts w:ascii="Times New Roman" w:hAnsi="Times New Roman" w:cs="Times New Roman"/>
          <w:sz w:val="28"/>
          <w:szCs w:val="28"/>
        </w:rPr>
        <w:t xml:space="preserve"> (</w:t>
      </w:r>
      <w:r w:rsidR="00684038">
        <w:rPr>
          <w:rFonts w:ascii="Times New Roman" w:hAnsi="Times New Roman" w:cs="Times New Roman"/>
          <w:i/>
          <w:iCs/>
          <w:sz w:val="28"/>
          <w:szCs w:val="28"/>
          <w:highlight w:val="green"/>
        </w:rPr>
        <w:t>на этот абзац</w:t>
      </w:r>
      <w:r w:rsidR="00684038" w:rsidRPr="00684038">
        <w:rPr>
          <w:rFonts w:ascii="Times New Roman" w:hAnsi="Times New Roman" w:cs="Times New Roman"/>
          <w:i/>
          <w:iCs/>
          <w:sz w:val="28"/>
          <w:szCs w:val="28"/>
          <w:highlight w:val="green"/>
        </w:rPr>
        <w:t xml:space="preserve"> уже должна быть ссылка</w:t>
      </w:r>
      <w:r w:rsidR="00684038">
        <w:rPr>
          <w:rFonts w:ascii="Times New Roman" w:hAnsi="Times New Roman" w:cs="Times New Roman"/>
          <w:i/>
          <w:iCs/>
          <w:sz w:val="28"/>
          <w:szCs w:val="28"/>
          <w:highlight w:val="green"/>
        </w:rPr>
        <w:t xml:space="preserve"> </w:t>
      </w:r>
      <w:r w:rsidR="00684038" w:rsidRPr="00684038">
        <w:rPr>
          <w:rFonts w:ascii="Times New Roman" w:hAnsi="Times New Roman" w:cs="Times New Roman"/>
          <w:i/>
          <w:iCs/>
          <w:sz w:val="28"/>
          <w:szCs w:val="28"/>
          <w:highlight w:val="green"/>
        </w:rPr>
        <w:t>на несколько источников, т.к. ты даешь дефиниции, факты с цифрами и описание стареющего общества.</w:t>
      </w:r>
      <w:r w:rsidR="00684038" w:rsidRPr="00684038">
        <w:rPr>
          <w:rFonts w:ascii="Times New Roman" w:hAnsi="Times New Roman" w:cs="Times New Roman"/>
          <w:sz w:val="28"/>
          <w:szCs w:val="28"/>
          <w:highlight w:val="green"/>
        </w:rPr>
        <w:t>)</w:t>
      </w:r>
    </w:p>
    <w:p w14:paraId="5D43C3BE" w14:textId="1F1C4937" w:rsidR="00E7415B" w:rsidRPr="004F5888" w:rsidRDefault="00E7415B" w:rsidP="004F5888">
      <w:pPr>
        <w:shd w:val="clear" w:color="auto" w:fill="FFFFFF"/>
        <w:spacing w:after="0" w:line="240" w:lineRule="auto"/>
        <w:ind w:right="-1" w:firstLine="709"/>
        <w:jc w:val="both"/>
        <w:rPr>
          <w:rFonts w:ascii="Times New Roman" w:hAnsi="Times New Roman" w:cs="Times New Roman"/>
          <w:sz w:val="28"/>
          <w:szCs w:val="28"/>
        </w:rPr>
      </w:pPr>
      <w:r w:rsidRPr="004F5888">
        <w:rPr>
          <w:rFonts w:ascii="Times New Roman" w:hAnsi="Times New Roman" w:cs="Times New Roman"/>
          <w:sz w:val="28"/>
          <w:szCs w:val="28"/>
        </w:rPr>
        <w:t>Начинаясь с безобидной забывчивости, деменция за 5–10 лет приводит к утрате человеком бытовых и профессиональных умений и заканчивается полной потерей элементарных навыков самостоятельного обслуживания. Наличие деменции увеличивает риск общей смертности почти в 3 раза.</w:t>
      </w:r>
      <w:r w:rsidR="00684038">
        <w:rPr>
          <w:rFonts w:ascii="Times New Roman" w:hAnsi="Times New Roman" w:cs="Times New Roman"/>
          <w:sz w:val="28"/>
          <w:szCs w:val="28"/>
        </w:rPr>
        <w:t xml:space="preserve"> (</w:t>
      </w:r>
      <w:r w:rsidR="00684038" w:rsidRPr="00684038">
        <w:rPr>
          <w:rFonts w:ascii="Times New Roman" w:hAnsi="Times New Roman" w:cs="Times New Roman"/>
          <w:i/>
          <w:iCs/>
          <w:sz w:val="28"/>
          <w:szCs w:val="28"/>
          <w:highlight w:val="green"/>
        </w:rPr>
        <w:t>ссылки</w:t>
      </w:r>
      <w:r w:rsidR="00684038">
        <w:rPr>
          <w:rFonts w:ascii="Times New Roman" w:hAnsi="Times New Roman" w:cs="Times New Roman"/>
          <w:sz w:val="28"/>
          <w:szCs w:val="28"/>
        </w:rPr>
        <w:t>)</w:t>
      </w:r>
    </w:p>
    <w:p w14:paraId="0BB9431F" w14:textId="67564C63" w:rsidR="00E7415B" w:rsidRPr="004F5888" w:rsidRDefault="00E7415B" w:rsidP="004F5888">
      <w:pPr>
        <w:shd w:val="clear" w:color="auto" w:fill="FFFFFF"/>
        <w:spacing w:after="0" w:line="240" w:lineRule="auto"/>
        <w:ind w:right="-1" w:firstLine="567"/>
        <w:jc w:val="both"/>
        <w:rPr>
          <w:rFonts w:ascii="Times New Roman" w:hAnsi="Times New Roman" w:cs="Times New Roman"/>
          <w:sz w:val="28"/>
          <w:szCs w:val="28"/>
        </w:rPr>
      </w:pPr>
      <w:r w:rsidRPr="004F5888">
        <w:rPr>
          <w:rFonts w:ascii="Times New Roman" w:hAnsi="Times New Roman" w:cs="Times New Roman"/>
          <w:sz w:val="28"/>
          <w:szCs w:val="28"/>
        </w:rPr>
        <w:t>Деменция – проблема не только самого больного. Семья больного вынуждена заниматься непростым круглосуточным уходом за пациентом, больной нуждается в постоянном надзоре. Проблема выходит за рамки медицинской, становится психологической, социальной и экономической. Расходы на лечение пациента и уход за ним составляют огромные суммы.</w:t>
      </w:r>
      <w:r w:rsidR="00684038">
        <w:rPr>
          <w:rFonts w:ascii="Times New Roman" w:hAnsi="Times New Roman" w:cs="Times New Roman"/>
          <w:sz w:val="28"/>
          <w:szCs w:val="28"/>
        </w:rPr>
        <w:t xml:space="preserve"> (</w:t>
      </w:r>
      <w:r w:rsidR="00684038" w:rsidRPr="00684038">
        <w:rPr>
          <w:rFonts w:ascii="Times New Roman" w:hAnsi="Times New Roman" w:cs="Times New Roman"/>
          <w:i/>
          <w:iCs/>
          <w:sz w:val="28"/>
          <w:szCs w:val="28"/>
          <w:highlight w:val="green"/>
        </w:rPr>
        <w:t>вставить ссылки? Также на несколько источников и в абзаце нужны факты – цифры, данные раскрывающее бремя</w:t>
      </w:r>
      <w:r w:rsidR="00684038">
        <w:rPr>
          <w:rFonts w:ascii="Times New Roman" w:hAnsi="Times New Roman" w:cs="Times New Roman"/>
          <w:sz w:val="28"/>
          <w:szCs w:val="28"/>
        </w:rPr>
        <w:t>)</w:t>
      </w:r>
    </w:p>
    <w:p w14:paraId="5D50A060" w14:textId="2CEA2CFB" w:rsidR="00E7415B" w:rsidRPr="004F5888" w:rsidRDefault="00E7415B" w:rsidP="004F5888">
      <w:pPr>
        <w:shd w:val="clear" w:color="auto" w:fill="FFFFFF"/>
        <w:spacing w:after="0" w:line="240" w:lineRule="auto"/>
        <w:ind w:right="-1" w:firstLine="567"/>
        <w:jc w:val="both"/>
        <w:rPr>
          <w:rFonts w:ascii="Times New Roman" w:hAnsi="Times New Roman" w:cs="Times New Roman"/>
          <w:sz w:val="28"/>
          <w:szCs w:val="28"/>
        </w:rPr>
      </w:pPr>
      <w:r w:rsidRPr="004F5888">
        <w:rPr>
          <w:rFonts w:ascii="Times New Roman" w:hAnsi="Times New Roman" w:cs="Times New Roman"/>
          <w:sz w:val="28"/>
          <w:szCs w:val="28"/>
        </w:rPr>
        <w:t>Говоря о скорости распространения деменции в мире, эксперты называют ее опаснейшей эпидемией 21 века. По данным Всемирной организации здравоохранения (ВОЗ), во всем мире насчитывается 47,5 млн. людей с деменцией. Ежегодно происходит 7,7 млн. новых случаев заболевания и к 2030 году, прогнозируют эксперты, число больных в мире достигнет 70 млн. чел.</w:t>
      </w:r>
      <w:r w:rsidR="00684038">
        <w:rPr>
          <w:rFonts w:ascii="Times New Roman" w:hAnsi="Times New Roman" w:cs="Times New Roman"/>
          <w:sz w:val="28"/>
          <w:szCs w:val="28"/>
        </w:rPr>
        <w:t xml:space="preserve"> (</w:t>
      </w:r>
      <w:r w:rsidR="00684038" w:rsidRPr="00684038">
        <w:rPr>
          <w:rFonts w:ascii="Times New Roman" w:hAnsi="Times New Roman" w:cs="Times New Roman"/>
          <w:i/>
          <w:iCs/>
          <w:sz w:val="28"/>
          <w:szCs w:val="28"/>
          <w:highlight w:val="green"/>
        </w:rPr>
        <w:t>ссылка</w:t>
      </w:r>
      <w:r w:rsidR="00684038">
        <w:rPr>
          <w:rFonts w:ascii="Times New Roman" w:hAnsi="Times New Roman" w:cs="Times New Roman"/>
          <w:sz w:val="28"/>
          <w:szCs w:val="28"/>
        </w:rPr>
        <w:t>)</w:t>
      </w:r>
    </w:p>
    <w:p w14:paraId="792571D7" w14:textId="77777777" w:rsidR="00E7415B" w:rsidRPr="004F5888" w:rsidRDefault="00E7415B" w:rsidP="004F5888">
      <w:pPr>
        <w:shd w:val="clear" w:color="auto" w:fill="FFFFFF" w:themeFill="background1"/>
        <w:spacing w:after="0" w:line="240" w:lineRule="auto"/>
        <w:ind w:right="-1" w:firstLine="567"/>
        <w:jc w:val="both"/>
        <w:rPr>
          <w:rFonts w:ascii="Times New Roman" w:hAnsi="Times New Roman" w:cs="Times New Roman"/>
          <w:b/>
          <w:bCs/>
          <w:sz w:val="28"/>
          <w:szCs w:val="28"/>
        </w:rPr>
      </w:pPr>
      <w:r w:rsidRPr="004F5888">
        <w:rPr>
          <w:rFonts w:ascii="Times New Roman" w:hAnsi="Times New Roman" w:cs="Times New Roman"/>
          <w:sz w:val="28"/>
          <w:szCs w:val="28"/>
        </w:rPr>
        <w:t>И высока вероятность возникновения болезни Альцгеймера. В своей работе мы хотим провести оценку оценка когнитивных функций пожилых людей.  Почему мы это изучаем, потому что утрата или нарушения когнитивных функций это одни из первых сигналов возможных нейродегенеративных отклонений в будущем.</w:t>
      </w:r>
    </w:p>
    <w:p w14:paraId="2C8D45AF" w14:textId="5DEFAC1B" w:rsidR="00E7415B" w:rsidRPr="004F5888" w:rsidRDefault="00E7415B" w:rsidP="004F5888">
      <w:pPr>
        <w:shd w:val="clear" w:color="auto" w:fill="FFFFFF"/>
        <w:spacing w:after="0" w:line="240" w:lineRule="auto"/>
        <w:ind w:right="-1" w:firstLine="709"/>
        <w:jc w:val="both"/>
        <w:rPr>
          <w:rFonts w:ascii="Times New Roman" w:hAnsi="Times New Roman" w:cs="Times New Roman"/>
          <w:b/>
          <w:bCs/>
          <w:sz w:val="28"/>
          <w:szCs w:val="28"/>
        </w:rPr>
      </w:pPr>
      <w:r w:rsidRPr="004F5888">
        <w:rPr>
          <w:rFonts w:ascii="Times New Roman" w:hAnsi="Times New Roman" w:cs="Times New Roman"/>
          <w:color w:val="000000" w:themeColor="text1"/>
          <w:sz w:val="28"/>
          <w:szCs w:val="28"/>
        </w:rPr>
        <w:t>Болезнь Альцгеймера является наиболее распространенным видом деменции (слабоумия) и составляет 35-45% от всех дементных состояний.</w:t>
      </w:r>
      <w:r w:rsidRPr="004F5888">
        <w:rPr>
          <w:rFonts w:ascii="Times New Roman" w:hAnsi="Times New Roman" w:cs="Times New Roman"/>
          <w:sz w:val="28"/>
          <w:szCs w:val="28"/>
        </w:rPr>
        <w:br/>
      </w:r>
      <w:r w:rsidRPr="004F5888">
        <w:rPr>
          <w:rFonts w:ascii="Times New Roman" w:hAnsi="Times New Roman" w:cs="Times New Roman"/>
          <w:color w:val="000000" w:themeColor="text1"/>
          <w:sz w:val="28"/>
          <w:szCs w:val="28"/>
        </w:rPr>
        <w:t xml:space="preserve">Однако действительность превзошла самые печальные прогнозы. Так в 1992 году австрийские ученые предсказали к 2050 году без малого троекратное увеличение количества пациентов с болезнью Альцгеймера в стране (с 48 до 120 тыс.). Однако </w:t>
      </w:r>
      <w:r w:rsidRPr="004F5888">
        <w:rPr>
          <w:rFonts w:ascii="Times New Roman" w:hAnsi="Times New Roman" w:cs="Times New Roman"/>
          <w:color w:val="000000" w:themeColor="text1"/>
          <w:sz w:val="28"/>
          <w:szCs w:val="28"/>
        </w:rPr>
        <w:lastRenderedPageBreak/>
        <w:t>рубеж в 120 тыс. больных был пройден еще в 2006 году.</w:t>
      </w:r>
      <w:r w:rsidRPr="004F5888">
        <w:rPr>
          <w:rFonts w:ascii="Times New Roman" w:hAnsi="Times New Roman" w:cs="Times New Roman"/>
          <w:sz w:val="28"/>
          <w:szCs w:val="28"/>
        </w:rPr>
        <w:br/>
      </w:r>
      <w:r w:rsidRPr="004F5888">
        <w:rPr>
          <w:rFonts w:ascii="Times New Roman" w:hAnsi="Times New Roman" w:cs="Times New Roman"/>
          <w:color w:val="000000" w:themeColor="text1"/>
          <w:sz w:val="28"/>
          <w:szCs w:val="28"/>
        </w:rPr>
        <w:t>Крайне неравномерное распределение заболеваемости болезнью Альцгеймера на карте мира, в первую очередь, связано с возрастным фактором.</w:t>
      </w:r>
      <w:r w:rsidRPr="004F5888">
        <w:rPr>
          <w:rFonts w:ascii="Times New Roman" w:hAnsi="Times New Roman" w:cs="Times New Roman"/>
          <w:sz w:val="28"/>
          <w:szCs w:val="28"/>
        </w:rPr>
        <w:br/>
      </w:r>
      <w:r w:rsidRPr="004F5888">
        <w:rPr>
          <w:rFonts w:ascii="Times New Roman" w:hAnsi="Times New Roman" w:cs="Times New Roman"/>
          <w:color w:val="000000" w:themeColor="text1"/>
          <w:sz w:val="28"/>
          <w:szCs w:val="28"/>
        </w:rPr>
        <w:t>Так, многие сегодня не утруждают себя простейшими вычислениями, предпочитая использовать калькулятор.</w:t>
      </w:r>
      <w:r w:rsidR="00CA3ED5">
        <w:rPr>
          <w:rFonts w:ascii="Times New Roman" w:hAnsi="Times New Roman" w:cs="Times New Roman"/>
          <w:color w:val="000000" w:themeColor="text1"/>
          <w:sz w:val="28"/>
          <w:szCs w:val="28"/>
        </w:rPr>
        <w:t xml:space="preserve"> (</w:t>
      </w:r>
      <w:r w:rsidR="00CA3ED5" w:rsidRPr="00CA3ED5">
        <w:rPr>
          <w:rFonts w:ascii="Times New Roman" w:hAnsi="Times New Roman" w:cs="Times New Roman"/>
          <w:color w:val="000000" w:themeColor="text1"/>
          <w:sz w:val="28"/>
          <w:szCs w:val="28"/>
          <w:highlight w:val="green"/>
        </w:rPr>
        <w:t>ссылки на факты выше</w:t>
      </w:r>
      <w:r w:rsidR="00CA3ED5">
        <w:rPr>
          <w:rFonts w:ascii="Times New Roman" w:hAnsi="Times New Roman" w:cs="Times New Roman"/>
          <w:color w:val="000000" w:themeColor="text1"/>
          <w:sz w:val="28"/>
          <w:szCs w:val="28"/>
        </w:rPr>
        <w:t>)</w:t>
      </w:r>
      <w:r w:rsidRPr="004F5888">
        <w:rPr>
          <w:rFonts w:ascii="Times New Roman" w:hAnsi="Times New Roman" w:cs="Times New Roman"/>
          <w:color w:val="000000" w:themeColor="text1"/>
          <w:sz w:val="28"/>
          <w:szCs w:val="28"/>
        </w:rPr>
        <w:t xml:space="preserve">  </w:t>
      </w:r>
      <w:r w:rsidRPr="004F5888">
        <w:rPr>
          <w:rFonts w:ascii="Times New Roman" w:hAnsi="Times New Roman" w:cs="Times New Roman"/>
          <w:sz w:val="28"/>
          <w:szCs w:val="28"/>
        </w:rPr>
        <w:br/>
      </w:r>
      <w:r w:rsidRPr="004F5888">
        <w:rPr>
          <w:rFonts w:ascii="Times New Roman" w:hAnsi="Times New Roman" w:cs="Times New Roman"/>
          <w:color w:val="000000" w:themeColor="text1"/>
          <w:sz w:val="28"/>
          <w:szCs w:val="28"/>
        </w:rPr>
        <w:t xml:space="preserve">Кроме того, болезнь Альцгеймера нередко усугубляется таким распространенным </w:t>
      </w:r>
      <w:r w:rsidRPr="00684038">
        <w:rPr>
          <w:rFonts w:ascii="Times New Roman" w:hAnsi="Times New Roman" w:cs="Times New Roman"/>
          <w:color w:val="000000" w:themeColor="text1"/>
          <w:sz w:val="28"/>
          <w:szCs w:val="28"/>
          <w:highlight w:val="yellow"/>
        </w:rPr>
        <w:t>страданием</w:t>
      </w:r>
      <w:r w:rsidRPr="004F5888">
        <w:rPr>
          <w:rFonts w:ascii="Times New Roman" w:hAnsi="Times New Roman" w:cs="Times New Roman"/>
          <w:color w:val="000000" w:themeColor="text1"/>
          <w:sz w:val="28"/>
          <w:szCs w:val="28"/>
        </w:rPr>
        <w:t xml:space="preserve"> современного человека, как атеросклероз. Поэтому такие «вредности» современной цивилизации, как неправильное питание, малоподвижный образ жизни, хронические стрессы, – способствуя развитию атеросклероза, косвенным образом повышают риск развития болезни Альцгеймера.</w:t>
      </w:r>
      <w:r w:rsidRPr="004F5888">
        <w:rPr>
          <w:rFonts w:ascii="Times New Roman" w:hAnsi="Times New Roman" w:cs="Times New Roman"/>
          <w:sz w:val="28"/>
          <w:szCs w:val="28"/>
        </w:rPr>
        <w:br/>
      </w:r>
      <w:r w:rsidRPr="004F5888">
        <w:rPr>
          <w:rFonts w:ascii="Times New Roman" w:eastAsia="Times New Roman" w:hAnsi="Times New Roman" w:cs="Times New Roman"/>
          <w:color w:val="000000" w:themeColor="text1"/>
          <w:sz w:val="28"/>
          <w:szCs w:val="28"/>
          <w:lang w:eastAsia="ru-RU"/>
        </w:rPr>
        <w:t>Болезнь Альцгеймера занимает четвертое место среди причин смертности людей пожилого возраста и входит в пятерку важнейших медико-социальных проблем современного человечества.</w:t>
      </w:r>
    </w:p>
    <w:p w14:paraId="42B718B9" w14:textId="77777777" w:rsidR="00E7415B" w:rsidRPr="004F5888" w:rsidRDefault="00E7415B" w:rsidP="004F5888">
      <w:pPr>
        <w:numPr>
          <w:ilvl w:val="0"/>
          <w:numId w:val="1"/>
        </w:numPr>
        <w:spacing w:after="0" w:line="240" w:lineRule="auto"/>
        <w:ind w:left="0" w:firstLine="709"/>
        <w:rPr>
          <w:rFonts w:ascii="Times New Roman" w:eastAsia="Times New Roman" w:hAnsi="Times New Roman" w:cs="Times New Roman"/>
          <w:color w:val="000000"/>
          <w:sz w:val="28"/>
          <w:szCs w:val="28"/>
          <w:lang w:eastAsia="ru-RU"/>
        </w:rPr>
      </w:pPr>
      <w:r w:rsidRPr="004F5888">
        <w:rPr>
          <w:rFonts w:ascii="Times New Roman" w:eastAsia="Times New Roman" w:hAnsi="Times New Roman" w:cs="Times New Roman"/>
          <w:color w:val="000000" w:themeColor="text1"/>
          <w:sz w:val="28"/>
          <w:szCs w:val="28"/>
          <w:lang w:eastAsia="ru-RU"/>
        </w:rPr>
        <w:t>Согласно статистике средняя продолжительность жизни пациента с болезнью Альцгеймера составляет 7 лет и только 3% больных удается перешагнуть 15-летний рубеж.</w:t>
      </w:r>
    </w:p>
    <w:p w14:paraId="053C5C5C" w14:textId="77777777" w:rsidR="00E7415B" w:rsidRPr="004F5888" w:rsidRDefault="00E7415B" w:rsidP="004F5888">
      <w:pPr>
        <w:numPr>
          <w:ilvl w:val="0"/>
          <w:numId w:val="1"/>
        </w:numPr>
        <w:spacing w:after="0" w:line="240" w:lineRule="auto"/>
        <w:ind w:left="0" w:firstLine="709"/>
        <w:rPr>
          <w:rFonts w:ascii="Times New Roman" w:eastAsia="Times New Roman" w:hAnsi="Times New Roman" w:cs="Times New Roman"/>
          <w:color w:val="000000"/>
          <w:sz w:val="28"/>
          <w:szCs w:val="28"/>
          <w:lang w:eastAsia="ru-RU"/>
        </w:rPr>
      </w:pPr>
      <w:r w:rsidRPr="004F5888">
        <w:rPr>
          <w:rFonts w:ascii="Times New Roman" w:eastAsia="Times New Roman" w:hAnsi="Times New Roman" w:cs="Times New Roman"/>
          <w:color w:val="000000" w:themeColor="text1"/>
          <w:sz w:val="28"/>
          <w:szCs w:val="28"/>
          <w:lang w:eastAsia="ru-RU"/>
        </w:rPr>
        <w:t>По приносимому обществу экономическому ущербу болезнь Альцгеймера занимает «почетное» третье место (после сердечно-сосудистых заболеваний и онкологической патологии)</w:t>
      </w:r>
    </w:p>
    <w:p w14:paraId="77AFDF27" w14:textId="1B0510C6" w:rsidR="00E7415B" w:rsidRPr="004F5888" w:rsidRDefault="00E7415B" w:rsidP="004F5888">
      <w:pPr>
        <w:numPr>
          <w:ilvl w:val="0"/>
          <w:numId w:val="1"/>
        </w:numPr>
        <w:spacing w:after="0" w:line="240" w:lineRule="auto"/>
        <w:ind w:left="0" w:firstLine="709"/>
        <w:rPr>
          <w:rFonts w:ascii="Times New Roman" w:hAnsi="Times New Roman" w:cs="Times New Roman"/>
          <w:b/>
          <w:bCs/>
          <w:sz w:val="28"/>
          <w:szCs w:val="28"/>
        </w:rPr>
      </w:pPr>
      <w:r w:rsidRPr="004F5888">
        <w:rPr>
          <w:rFonts w:ascii="Times New Roman" w:eastAsia="Times New Roman" w:hAnsi="Times New Roman" w:cs="Times New Roman"/>
          <w:color w:val="000000" w:themeColor="text1"/>
          <w:sz w:val="28"/>
          <w:szCs w:val="28"/>
          <w:lang w:eastAsia="ru-RU"/>
        </w:rPr>
        <w:t xml:space="preserve">В Бельгии болезнь Альцгеймера внесена в список заболеваний, при которых допустима эвтаназия (проводимое по просьбе пациента «убийство из милосердия»). </w:t>
      </w:r>
    </w:p>
    <w:p w14:paraId="2AFC5112" w14:textId="6B1AAE2F" w:rsidR="001D5A52" w:rsidRPr="004F5888" w:rsidRDefault="001D5A52" w:rsidP="004F5888">
      <w:pPr>
        <w:pStyle w:val="aa"/>
        <w:shd w:val="clear" w:color="auto" w:fill="FFFFFF"/>
        <w:spacing w:before="0" w:beforeAutospacing="0" w:after="0" w:afterAutospacing="0"/>
        <w:jc w:val="both"/>
        <w:textAlignment w:val="baseline"/>
        <w:rPr>
          <w:color w:val="000000"/>
          <w:spacing w:val="2"/>
          <w:sz w:val="28"/>
          <w:szCs w:val="28"/>
          <w:shd w:val="clear" w:color="auto" w:fill="FFFFFF"/>
        </w:rPr>
      </w:pPr>
      <w:r w:rsidRPr="004F5888">
        <w:rPr>
          <w:color w:val="000000"/>
          <w:spacing w:val="2"/>
          <w:sz w:val="28"/>
          <w:szCs w:val="28"/>
          <w:shd w:val="clear" w:color="auto" w:fill="FFFFFF"/>
        </w:rPr>
        <w:t>Казахстан поддерживает определение Организации Объединенных Наций (далее – ООН) о том, что ключевой элемент устойчивого развития – это обеспечение здорового образа жизни и содействие благополучию для всех людей в любом возрасте. В среднесрочном Стратегическом плане развития Республики Казахстан до 2025 года Правительство Республики Казахстан определило Цели устойчивого развития ООН (далее – ЦУР) важным ориентиром, где третьей целью указаны хорошее здоровье и благополучие населения.(новая программа здравоохранения 2020-2025 )</w:t>
      </w:r>
    </w:p>
    <w:p w14:paraId="7999440C" w14:textId="4C2C4182" w:rsidR="001D5A52" w:rsidRPr="004F5888" w:rsidRDefault="001D5A52" w:rsidP="004F5888">
      <w:pPr>
        <w:pStyle w:val="aa"/>
        <w:shd w:val="clear" w:color="auto" w:fill="FFFFFF"/>
        <w:spacing w:before="0" w:beforeAutospacing="0" w:after="0" w:afterAutospacing="0"/>
        <w:jc w:val="both"/>
        <w:textAlignment w:val="baseline"/>
        <w:rPr>
          <w:color w:val="000000"/>
          <w:spacing w:val="2"/>
          <w:sz w:val="28"/>
          <w:szCs w:val="28"/>
        </w:rPr>
      </w:pPr>
      <w:r w:rsidRPr="00CA3ED5">
        <w:rPr>
          <w:color w:val="000000"/>
          <w:spacing w:val="2"/>
          <w:sz w:val="28"/>
          <w:szCs w:val="28"/>
          <w:highlight w:val="yellow"/>
          <w:shd w:val="clear" w:color="auto" w:fill="FFFFFF"/>
        </w:rPr>
        <w:t>Привести стать 1 конституции, о том, что мы соц. Гос-во, а соц гос-во заботится о ментальном здоровье и в целом о здр-ии .</w:t>
      </w:r>
    </w:p>
    <w:p w14:paraId="2C614762" w14:textId="77777777" w:rsidR="001D5A52" w:rsidRPr="004F5888" w:rsidRDefault="001D5A52" w:rsidP="004F5888">
      <w:pPr>
        <w:spacing w:after="0" w:line="240" w:lineRule="auto"/>
        <w:rPr>
          <w:rFonts w:ascii="Times New Roman" w:hAnsi="Times New Roman" w:cs="Times New Roman"/>
          <w:b/>
          <w:bCs/>
          <w:sz w:val="28"/>
          <w:szCs w:val="28"/>
        </w:rPr>
      </w:pPr>
    </w:p>
    <w:p w14:paraId="3110E20A" w14:textId="77777777" w:rsidR="00E7415B" w:rsidRPr="004F5888" w:rsidRDefault="00E7415B"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 xml:space="preserve">В Казахстане не проводились крупные эпидемиологические исследования по деменции, </w:t>
      </w:r>
      <w:r w:rsidRPr="00CA3ED5">
        <w:rPr>
          <w:rFonts w:ascii="Times New Roman" w:hAnsi="Times New Roman" w:cs="Times New Roman"/>
          <w:sz w:val="28"/>
          <w:szCs w:val="28"/>
          <w:highlight w:val="yellow"/>
        </w:rPr>
        <w:t>как следствие, отсутствуют официальные статистические данные</w:t>
      </w:r>
    </w:p>
    <w:p w14:paraId="6FBC71AC" w14:textId="77777777" w:rsidR="00E7415B" w:rsidRPr="004F5888" w:rsidRDefault="00E7415B" w:rsidP="004F5888">
      <w:pPr>
        <w:spacing w:after="0" w:line="240" w:lineRule="auto"/>
        <w:contextualSpacing/>
        <w:jc w:val="both"/>
        <w:rPr>
          <w:rFonts w:ascii="Times New Roman" w:eastAsia="Times New Roman" w:hAnsi="Times New Roman" w:cs="Times New Roman"/>
          <w:b/>
          <w:sz w:val="28"/>
          <w:szCs w:val="28"/>
          <w:shd w:val="clear" w:color="auto" w:fill="FFFFFF"/>
        </w:rPr>
      </w:pPr>
      <w:r w:rsidRPr="004F5888">
        <w:rPr>
          <w:rFonts w:ascii="Times New Roman" w:eastAsia="Times New Roman" w:hAnsi="Times New Roman" w:cs="Times New Roman"/>
          <w:b/>
          <w:sz w:val="28"/>
          <w:szCs w:val="28"/>
          <w:shd w:val="clear" w:color="auto" w:fill="FFFFFF"/>
        </w:rPr>
        <w:t>Цель исследования</w:t>
      </w:r>
    </w:p>
    <w:p w14:paraId="2B61BDBC" w14:textId="14E5B55F" w:rsidR="00E7415B" w:rsidRPr="004F5888" w:rsidRDefault="00300F1D"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 xml:space="preserve">        оценить когнитивные функции </w:t>
      </w:r>
      <w:r w:rsidR="00E7415B" w:rsidRPr="004F5888">
        <w:rPr>
          <w:rFonts w:ascii="Times New Roman" w:hAnsi="Times New Roman" w:cs="Times New Roman"/>
          <w:sz w:val="28"/>
          <w:szCs w:val="28"/>
        </w:rPr>
        <w:t xml:space="preserve">людей </w:t>
      </w:r>
      <w:r w:rsidRPr="004F5888">
        <w:rPr>
          <w:rFonts w:ascii="Times New Roman" w:hAnsi="Times New Roman" w:cs="Times New Roman"/>
          <w:sz w:val="28"/>
          <w:szCs w:val="28"/>
        </w:rPr>
        <w:t xml:space="preserve">старше 40 лет </w:t>
      </w:r>
      <w:r w:rsidR="00E7415B" w:rsidRPr="004F5888">
        <w:rPr>
          <w:rFonts w:ascii="Times New Roman" w:hAnsi="Times New Roman" w:cs="Times New Roman"/>
          <w:sz w:val="28"/>
          <w:szCs w:val="28"/>
        </w:rPr>
        <w:t>в г.</w:t>
      </w:r>
      <w:r w:rsidRPr="004F5888">
        <w:rPr>
          <w:rFonts w:ascii="Times New Roman" w:hAnsi="Times New Roman" w:cs="Times New Roman"/>
          <w:sz w:val="28"/>
          <w:szCs w:val="28"/>
        </w:rPr>
        <w:t xml:space="preserve"> </w:t>
      </w:r>
      <w:r w:rsidR="00E7415B" w:rsidRPr="004F5888">
        <w:rPr>
          <w:rFonts w:ascii="Times New Roman" w:hAnsi="Times New Roman" w:cs="Times New Roman"/>
          <w:sz w:val="28"/>
          <w:szCs w:val="28"/>
        </w:rPr>
        <w:t xml:space="preserve">Караганде </w:t>
      </w:r>
    </w:p>
    <w:p w14:paraId="5FB89EA6" w14:textId="77777777" w:rsidR="00E7415B" w:rsidRPr="004F5888" w:rsidRDefault="00E7415B" w:rsidP="004F5888">
      <w:pPr>
        <w:spacing w:after="0" w:line="240" w:lineRule="auto"/>
        <w:contextualSpacing/>
        <w:jc w:val="both"/>
        <w:rPr>
          <w:rFonts w:ascii="Times New Roman" w:eastAsia="Times New Roman" w:hAnsi="Times New Roman" w:cs="Times New Roman"/>
          <w:b/>
          <w:sz w:val="28"/>
          <w:szCs w:val="28"/>
          <w:shd w:val="clear" w:color="auto" w:fill="FFFFFF"/>
        </w:rPr>
      </w:pPr>
      <w:r w:rsidRPr="004F5888">
        <w:rPr>
          <w:rFonts w:ascii="Times New Roman" w:eastAsia="Times New Roman" w:hAnsi="Times New Roman" w:cs="Times New Roman"/>
          <w:b/>
          <w:sz w:val="28"/>
          <w:szCs w:val="28"/>
          <w:shd w:val="clear" w:color="auto" w:fill="FFFFFF"/>
        </w:rPr>
        <w:t>Объект исследования</w:t>
      </w:r>
    </w:p>
    <w:p w14:paraId="48AB3FD7" w14:textId="3828EBAA" w:rsidR="00E7415B" w:rsidRPr="004F5888" w:rsidRDefault="00E7415B"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 xml:space="preserve">      </w:t>
      </w:r>
      <w:r w:rsidR="00300F1D" w:rsidRPr="004F5888">
        <w:rPr>
          <w:rFonts w:ascii="Times New Roman" w:hAnsi="Times New Roman" w:cs="Times New Roman"/>
          <w:sz w:val="28"/>
          <w:szCs w:val="28"/>
        </w:rPr>
        <w:t xml:space="preserve">    мужчины и женщины г. </w:t>
      </w:r>
      <w:r w:rsidRPr="004F5888">
        <w:rPr>
          <w:rFonts w:ascii="Times New Roman" w:hAnsi="Times New Roman" w:cs="Times New Roman"/>
          <w:sz w:val="28"/>
          <w:szCs w:val="28"/>
        </w:rPr>
        <w:t>Караганды</w:t>
      </w:r>
      <w:r w:rsidR="001D5A52" w:rsidRPr="004F5888">
        <w:rPr>
          <w:rFonts w:ascii="Times New Roman" w:hAnsi="Times New Roman" w:cs="Times New Roman"/>
          <w:sz w:val="28"/>
          <w:szCs w:val="28"/>
        </w:rPr>
        <w:t xml:space="preserve"> старше 40 лет</w:t>
      </w:r>
    </w:p>
    <w:p w14:paraId="6CBCE668" w14:textId="77777777" w:rsidR="00E7415B" w:rsidRPr="004F5888" w:rsidRDefault="00E7415B" w:rsidP="004F5888">
      <w:pPr>
        <w:spacing w:after="0" w:line="240" w:lineRule="auto"/>
        <w:jc w:val="both"/>
        <w:rPr>
          <w:rFonts w:ascii="Times New Roman" w:eastAsia="Times New Roman" w:hAnsi="Times New Roman" w:cs="Times New Roman"/>
          <w:b/>
          <w:sz w:val="28"/>
          <w:szCs w:val="28"/>
          <w:shd w:val="clear" w:color="auto" w:fill="FFFFFF"/>
        </w:rPr>
      </w:pPr>
      <w:r w:rsidRPr="004F5888">
        <w:rPr>
          <w:rFonts w:ascii="Times New Roman" w:eastAsia="Times New Roman" w:hAnsi="Times New Roman" w:cs="Times New Roman"/>
          <w:b/>
          <w:sz w:val="28"/>
          <w:szCs w:val="28"/>
          <w:shd w:val="clear" w:color="auto" w:fill="FFFFFF"/>
        </w:rPr>
        <w:t xml:space="preserve">Задачи исследования </w:t>
      </w:r>
    </w:p>
    <w:p w14:paraId="2E8270AF" w14:textId="2BEB13A7" w:rsidR="00E7415B" w:rsidRPr="004F5888" w:rsidRDefault="004E056F" w:rsidP="004F5888">
      <w:pPr>
        <w:spacing w:after="0" w:line="240" w:lineRule="auto"/>
        <w:ind w:left="851" w:hanging="284"/>
        <w:jc w:val="both"/>
        <w:rPr>
          <w:rFonts w:ascii="Times New Roman" w:eastAsia="Times New Roman" w:hAnsi="Times New Roman" w:cs="Times New Roman"/>
          <w:sz w:val="28"/>
          <w:szCs w:val="28"/>
          <w:shd w:val="clear" w:color="auto" w:fill="FFFFFF"/>
        </w:rPr>
      </w:pPr>
      <w:r w:rsidRPr="004F5888">
        <w:rPr>
          <w:rFonts w:ascii="Times New Roman" w:eastAsia="Times New Roman" w:hAnsi="Times New Roman" w:cs="Times New Roman"/>
          <w:sz w:val="28"/>
          <w:szCs w:val="28"/>
          <w:shd w:val="clear" w:color="auto" w:fill="FFFFFF"/>
        </w:rPr>
        <w:t xml:space="preserve">1. Изучить </w:t>
      </w:r>
      <w:r w:rsidR="004F0485" w:rsidRPr="004F5888">
        <w:rPr>
          <w:rFonts w:ascii="Times New Roman" w:eastAsia="Times New Roman" w:hAnsi="Times New Roman" w:cs="Times New Roman"/>
          <w:sz w:val="28"/>
          <w:szCs w:val="28"/>
          <w:shd w:val="clear" w:color="auto" w:fill="FFFFFF"/>
        </w:rPr>
        <w:t>распространенность</w:t>
      </w:r>
      <w:r w:rsidR="00300F1D" w:rsidRPr="004F5888">
        <w:rPr>
          <w:rFonts w:ascii="Times New Roman" w:eastAsia="Times New Roman" w:hAnsi="Times New Roman" w:cs="Times New Roman"/>
          <w:sz w:val="28"/>
          <w:szCs w:val="28"/>
          <w:shd w:val="clear" w:color="auto" w:fill="FFFFFF"/>
        </w:rPr>
        <w:t>, факторы риска БА в Казахстане и в мире</w:t>
      </w:r>
    </w:p>
    <w:p w14:paraId="0C7F3303" w14:textId="46EB2777" w:rsidR="00F02475" w:rsidRPr="004F5888" w:rsidRDefault="00300F1D" w:rsidP="004F5888">
      <w:pPr>
        <w:spacing w:after="0" w:line="240" w:lineRule="auto"/>
        <w:ind w:left="851" w:hanging="284"/>
        <w:jc w:val="both"/>
        <w:rPr>
          <w:rFonts w:ascii="Times New Roman" w:hAnsi="Times New Roman" w:cs="Times New Roman"/>
          <w:sz w:val="28"/>
          <w:szCs w:val="28"/>
          <w:shd w:val="clear" w:color="auto" w:fill="FFFFFF"/>
        </w:rPr>
      </w:pPr>
      <w:r w:rsidRPr="004F5888">
        <w:rPr>
          <w:rFonts w:ascii="Times New Roman" w:eastAsia="Times New Roman" w:hAnsi="Times New Roman" w:cs="Times New Roman"/>
          <w:sz w:val="28"/>
          <w:szCs w:val="28"/>
          <w:shd w:val="clear" w:color="auto" w:fill="FFFFFF"/>
        </w:rPr>
        <w:t>2</w:t>
      </w:r>
      <w:r w:rsidR="00E7415B" w:rsidRPr="004F5888">
        <w:rPr>
          <w:rFonts w:ascii="Times New Roman" w:eastAsia="Times New Roman" w:hAnsi="Times New Roman" w:cs="Times New Roman"/>
          <w:sz w:val="28"/>
          <w:szCs w:val="28"/>
          <w:shd w:val="clear" w:color="auto" w:fill="FFFFFF"/>
        </w:rPr>
        <w:t>.</w:t>
      </w:r>
      <w:r w:rsidR="006B005D" w:rsidRPr="004F5888">
        <w:rPr>
          <w:rFonts w:ascii="Times New Roman" w:eastAsia="Times New Roman" w:hAnsi="Times New Roman" w:cs="Times New Roman"/>
          <w:sz w:val="28"/>
          <w:szCs w:val="28"/>
          <w:shd w:val="clear" w:color="auto" w:fill="FFFFFF"/>
        </w:rPr>
        <w:t xml:space="preserve"> </w:t>
      </w:r>
      <w:r w:rsidR="00F02475" w:rsidRPr="004F5888">
        <w:rPr>
          <w:rFonts w:ascii="Times New Roman" w:hAnsi="Times New Roman" w:cs="Times New Roman"/>
          <w:sz w:val="28"/>
          <w:szCs w:val="28"/>
          <w:shd w:val="clear" w:color="auto" w:fill="FFFFFF"/>
        </w:rPr>
        <w:t xml:space="preserve">Исследовать  когнитивные функции населения </w:t>
      </w:r>
      <w:r w:rsidR="00F02475" w:rsidRPr="004F5888">
        <w:rPr>
          <w:rFonts w:ascii="Times New Roman" w:eastAsia="Times New Roman" w:hAnsi="Times New Roman" w:cs="Times New Roman"/>
          <w:sz w:val="28"/>
          <w:szCs w:val="28"/>
          <w:shd w:val="clear" w:color="auto" w:fill="FFFFFF"/>
        </w:rPr>
        <w:t>Караганда возраста старше 40 лет при помощи</w:t>
      </w:r>
      <w:r w:rsidR="00F02475" w:rsidRPr="004F5888">
        <w:rPr>
          <w:rFonts w:ascii="Times New Roman" w:hAnsi="Times New Roman" w:cs="Times New Roman"/>
          <w:sz w:val="28"/>
          <w:szCs w:val="28"/>
          <w:shd w:val="clear" w:color="auto" w:fill="FFFFFF"/>
        </w:rPr>
        <w:t xml:space="preserve"> </w:t>
      </w:r>
      <w:r w:rsidR="00F02475" w:rsidRPr="004F5888">
        <w:rPr>
          <w:rFonts w:ascii="Times New Roman" w:eastAsia="Times New Roman" w:hAnsi="Times New Roman" w:cs="Times New Roman"/>
          <w:sz w:val="28"/>
          <w:szCs w:val="28"/>
          <w:shd w:val="clear" w:color="auto" w:fill="FFFFFF"/>
        </w:rPr>
        <w:t xml:space="preserve">инструмента </w:t>
      </w:r>
      <w:proofErr w:type="spellStart"/>
      <w:r w:rsidR="00F02475" w:rsidRPr="004F5888">
        <w:rPr>
          <w:rFonts w:ascii="Times New Roman" w:eastAsia="Times New Roman" w:hAnsi="Times New Roman" w:cs="Times New Roman"/>
          <w:sz w:val="28"/>
          <w:szCs w:val="28"/>
          <w:shd w:val="clear" w:color="auto" w:fill="FFFFFF"/>
          <w:lang w:val="en-US"/>
        </w:rPr>
        <w:t>MOCa</w:t>
      </w:r>
      <w:proofErr w:type="spellEnd"/>
    </w:p>
    <w:p w14:paraId="4BB323CC" w14:textId="768B7A49" w:rsidR="00300F1D" w:rsidRPr="004F5888" w:rsidRDefault="00300F1D" w:rsidP="004F5888">
      <w:pPr>
        <w:spacing w:after="0" w:line="240" w:lineRule="auto"/>
        <w:ind w:left="851" w:hanging="284"/>
        <w:jc w:val="both"/>
        <w:rPr>
          <w:rFonts w:ascii="Times New Roman" w:eastAsia="Times New Roman" w:hAnsi="Times New Roman" w:cs="Times New Roman"/>
          <w:sz w:val="28"/>
          <w:szCs w:val="28"/>
          <w:shd w:val="clear" w:color="auto" w:fill="FFFFFF"/>
        </w:rPr>
      </w:pPr>
      <w:r w:rsidRPr="004F5888">
        <w:rPr>
          <w:rFonts w:ascii="Times New Roman" w:eastAsia="Times New Roman" w:hAnsi="Times New Roman" w:cs="Times New Roman"/>
          <w:sz w:val="28"/>
          <w:szCs w:val="28"/>
          <w:shd w:val="clear" w:color="auto" w:fill="FFFFFF"/>
        </w:rPr>
        <w:lastRenderedPageBreak/>
        <w:t xml:space="preserve">3. Предложить </w:t>
      </w:r>
      <w:r w:rsidR="006B005D" w:rsidRPr="004F5888">
        <w:rPr>
          <w:rFonts w:ascii="Times New Roman" w:eastAsia="Times New Roman" w:hAnsi="Times New Roman" w:cs="Times New Roman"/>
          <w:sz w:val="28"/>
          <w:szCs w:val="28"/>
          <w:shd w:val="clear" w:color="auto" w:fill="FFFFFF"/>
        </w:rPr>
        <w:t xml:space="preserve">рекомендации по профилактике нарушений когнитивных функций </w:t>
      </w:r>
      <w:r w:rsidR="006B005D" w:rsidRPr="00CA3ED5">
        <w:rPr>
          <w:rFonts w:ascii="Times New Roman" w:eastAsia="Times New Roman" w:hAnsi="Times New Roman" w:cs="Times New Roman"/>
          <w:sz w:val="28"/>
          <w:szCs w:val="28"/>
          <w:highlight w:val="yellow"/>
          <w:shd w:val="clear" w:color="auto" w:fill="FFFFFF"/>
        </w:rPr>
        <w:t>старше 40      лет</w:t>
      </w:r>
      <w:r w:rsidR="006B005D" w:rsidRPr="004F5888">
        <w:rPr>
          <w:rFonts w:ascii="Times New Roman" w:eastAsia="Times New Roman" w:hAnsi="Times New Roman" w:cs="Times New Roman"/>
          <w:sz w:val="28"/>
          <w:szCs w:val="28"/>
          <w:shd w:val="clear" w:color="auto" w:fill="FFFFFF"/>
        </w:rPr>
        <w:t xml:space="preserve"> </w:t>
      </w:r>
    </w:p>
    <w:p w14:paraId="254BF5EA" w14:textId="77777777" w:rsidR="00E7415B" w:rsidRPr="004F5888" w:rsidRDefault="00E7415B" w:rsidP="004F5888">
      <w:pPr>
        <w:spacing w:after="0" w:line="240" w:lineRule="auto"/>
        <w:jc w:val="both"/>
        <w:rPr>
          <w:rFonts w:ascii="Times New Roman" w:eastAsia="Times New Roman" w:hAnsi="Times New Roman" w:cs="Times New Roman"/>
          <w:b/>
          <w:bCs/>
          <w:sz w:val="28"/>
          <w:szCs w:val="28"/>
          <w:shd w:val="clear" w:color="auto" w:fill="FFFFFF"/>
        </w:rPr>
      </w:pPr>
      <w:r w:rsidRPr="004F5888">
        <w:rPr>
          <w:rFonts w:ascii="Times New Roman" w:eastAsia="Times New Roman" w:hAnsi="Times New Roman" w:cs="Times New Roman"/>
          <w:b/>
          <w:bCs/>
          <w:sz w:val="28"/>
          <w:szCs w:val="28"/>
          <w:shd w:val="clear" w:color="auto" w:fill="FFFFFF"/>
        </w:rPr>
        <w:t>Научная новизна</w:t>
      </w:r>
    </w:p>
    <w:p w14:paraId="3F48DBD7" w14:textId="67549995" w:rsidR="00E7415B" w:rsidRPr="004F5888" w:rsidRDefault="00E7415B" w:rsidP="004F5888">
      <w:pPr>
        <w:spacing w:after="0" w:line="240" w:lineRule="auto"/>
        <w:ind w:firstLine="426"/>
        <w:jc w:val="both"/>
        <w:rPr>
          <w:rFonts w:ascii="Times New Roman" w:eastAsia="Times New Roman" w:hAnsi="Times New Roman" w:cs="Times New Roman"/>
          <w:sz w:val="28"/>
          <w:szCs w:val="28"/>
          <w:shd w:val="clear" w:color="auto" w:fill="FFFFFF"/>
        </w:rPr>
      </w:pPr>
      <w:r w:rsidRPr="004F5888">
        <w:rPr>
          <w:rFonts w:ascii="Times New Roman" w:eastAsia="Times New Roman" w:hAnsi="Times New Roman" w:cs="Times New Roman"/>
          <w:sz w:val="28"/>
          <w:szCs w:val="28"/>
          <w:shd w:val="clear" w:color="auto" w:fill="FFFFFF"/>
        </w:rPr>
        <w:tab/>
        <w:t>Научная новизна исследования заключается в том, что получены актуальные данные</w:t>
      </w:r>
      <w:r w:rsidR="006B005D" w:rsidRPr="004F5888">
        <w:rPr>
          <w:rFonts w:ascii="Times New Roman" w:eastAsia="Times New Roman" w:hAnsi="Times New Roman" w:cs="Times New Roman"/>
          <w:sz w:val="28"/>
          <w:szCs w:val="28"/>
          <w:shd w:val="clear" w:color="auto" w:fill="FFFFFF"/>
        </w:rPr>
        <w:t xml:space="preserve"> о когнитивных функция населения г.</w:t>
      </w:r>
      <w:r w:rsidR="00616884" w:rsidRPr="004F5888">
        <w:rPr>
          <w:rFonts w:ascii="Times New Roman" w:eastAsia="Times New Roman" w:hAnsi="Times New Roman" w:cs="Times New Roman"/>
          <w:sz w:val="28"/>
          <w:szCs w:val="28"/>
          <w:shd w:val="clear" w:color="auto" w:fill="FFFFFF"/>
        </w:rPr>
        <w:t xml:space="preserve"> </w:t>
      </w:r>
      <w:r w:rsidR="006B005D" w:rsidRPr="004F5888">
        <w:rPr>
          <w:rFonts w:ascii="Times New Roman" w:eastAsia="Times New Roman" w:hAnsi="Times New Roman" w:cs="Times New Roman"/>
          <w:sz w:val="28"/>
          <w:szCs w:val="28"/>
          <w:shd w:val="clear" w:color="auto" w:fill="FFFFFF"/>
        </w:rPr>
        <w:t xml:space="preserve">Караганды старше 40 лет при помощи инструмента </w:t>
      </w:r>
      <w:r w:rsidR="006B005D" w:rsidRPr="004F5888">
        <w:rPr>
          <w:rFonts w:ascii="Times New Roman" w:eastAsia="Times New Roman" w:hAnsi="Times New Roman" w:cs="Times New Roman"/>
          <w:sz w:val="28"/>
          <w:szCs w:val="28"/>
          <w:shd w:val="clear" w:color="auto" w:fill="FFFFFF"/>
          <w:lang w:val="en-US"/>
        </w:rPr>
        <w:t>MOC</w:t>
      </w:r>
      <w:r w:rsidR="006B005D" w:rsidRPr="004F5888">
        <w:rPr>
          <w:rFonts w:ascii="Times New Roman" w:eastAsia="Times New Roman" w:hAnsi="Times New Roman" w:cs="Times New Roman"/>
          <w:sz w:val="28"/>
          <w:szCs w:val="28"/>
          <w:shd w:val="clear" w:color="auto" w:fill="FFFFFF"/>
        </w:rPr>
        <w:t>а</w:t>
      </w:r>
      <w:r w:rsidRPr="00CA3ED5">
        <w:rPr>
          <w:rFonts w:ascii="Times New Roman" w:eastAsia="Times New Roman" w:hAnsi="Times New Roman" w:cs="Times New Roman"/>
          <w:sz w:val="28"/>
          <w:szCs w:val="28"/>
          <w:highlight w:val="yellow"/>
          <w:shd w:val="clear" w:color="auto" w:fill="FFFFFF"/>
        </w:rPr>
        <w:t>, оценен когнитивный резерв</w:t>
      </w:r>
      <w:r w:rsidRPr="004F5888">
        <w:rPr>
          <w:rFonts w:ascii="Times New Roman" w:eastAsia="Times New Roman" w:hAnsi="Times New Roman" w:cs="Times New Roman"/>
          <w:sz w:val="28"/>
          <w:szCs w:val="28"/>
          <w:shd w:val="clear" w:color="auto" w:fill="FFFFFF"/>
        </w:rPr>
        <w:t xml:space="preserve"> населени</w:t>
      </w:r>
      <w:r w:rsidR="00616884" w:rsidRPr="004F5888">
        <w:rPr>
          <w:rFonts w:ascii="Times New Roman" w:eastAsia="Times New Roman" w:hAnsi="Times New Roman" w:cs="Times New Roman"/>
          <w:sz w:val="28"/>
          <w:szCs w:val="28"/>
          <w:shd w:val="clear" w:color="auto" w:fill="FFFFFF"/>
        </w:rPr>
        <w:t>я (чего не делалось ранее в Казахстане</w:t>
      </w:r>
      <w:r w:rsidR="006B005D" w:rsidRPr="004F5888">
        <w:rPr>
          <w:rFonts w:ascii="Times New Roman" w:eastAsia="Times New Roman" w:hAnsi="Times New Roman" w:cs="Times New Roman"/>
          <w:sz w:val="28"/>
          <w:szCs w:val="28"/>
          <w:shd w:val="clear" w:color="auto" w:fill="FFFFFF"/>
        </w:rPr>
        <w:t>)</w:t>
      </w:r>
      <w:r w:rsidR="00616884" w:rsidRPr="004F5888">
        <w:rPr>
          <w:rFonts w:ascii="Times New Roman" w:eastAsia="Times New Roman" w:hAnsi="Times New Roman" w:cs="Times New Roman"/>
          <w:sz w:val="28"/>
          <w:szCs w:val="28"/>
          <w:shd w:val="clear" w:color="auto" w:fill="FFFFFF"/>
        </w:rPr>
        <w:t xml:space="preserve">. </w:t>
      </w:r>
    </w:p>
    <w:p w14:paraId="6926AAAF" w14:textId="77777777" w:rsidR="00E7415B" w:rsidRPr="004F5888" w:rsidRDefault="00E7415B" w:rsidP="004F5888">
      <w:pPr>
        <w:spacing w:after="0" w:line="240" w:lineRule="auto"/>
        <w:jc w:val="both"/>
        <w:rPr>
          <w:rFonts w:ascii="Times New Roman" w:eastAsia="Times New Roman" w:hAnsi="Times New Roman" w:cs="Times New Roman"/>
          <w:b/>
          <w:bCs/>
          <w:sz w:val="28"/>
          <w:szCs w:val="28"/>
          <w:shd w:val="clear" w:color="auto" w:fill="FFFFFF"/>
        </w:rPr>
      </w:pPr>
      <w:r w:rsidRPr="004F5888">
        <w:rPr>
          <w:rFonts w:ascii="Times New Roman" w:eastAsia="Times New Roman" w:hAnsi="Times New Roman" w:cs="Times New Roman"/>
          <w:b/>
          <w:bCs/>
          <w:sz w:val="28"/>
          <w:szCs w:val="28"/>
          <w:shd w:val="clear" w:color="auto" w:fill="FFFFFF"/>
        </w:rPr>
        <w:t xml:space="preserve">Практическая значимость </w:t>
      </w:r>
    </w:p>
    <w:p w14:paraId="0B6EE4C7" w14:textId="35163431" w:rsidR="00E7415B" w:rsidRPr="004F5888" w:rsidRDefault="00E7415B" w:rsidP="004F5888">
      <w:pPr>
        <w:spacing w:after="0" w:line="240" w:lineRule="auto"/>
        <w:ind w:firstLine="426"/>
        <w:jc w:val="both"/>
        <w:rPr>
          <w:rFonts w:ascii="Times New Roman" w:eastAsia="Times New Roman" w:hAnsi="Times New Roman" w:cs="Times New Roman"/>
          <w:sz w:val="28"/>
          <w:szCs w:val="28"/>
          <w:shd w:val="clear" w:color="auto" w:fill="FFFFFF"/>
        </w:rPr>
      </w:pPr>
      <w:r w:rsidRPr="004F5888">
        <w:rPr>
          <w:rFonts w:ascii="Times New Roman" w:eastAsia="Times New Roman" w:hAnsi="Times New Roman" w:cs="Times New Roman"/>
          <w:sz w:val="28"/>
          <w:szCs w:val="28"/>
          <w:shd w:val="clear" w:color="auto" w:fill="FFFFFF"/>
        </w:rPr>
        <w:tab/>
        <w:t>Полученные данные могут использоваться в качестве основы для проведения мероприятий по повышению уровня санитарных знаний по БА, её первичной профилактике, а также для исследования когнитивных</w:t>
      </w:r>
      <w:r w:rsidR="00616884" w:rsidRPr="004F5888">
        <w:rPr>
          <w:rFonts w:ascii="Times New Roman" w:eastAsia="Times New Roman" w:hAnsi="Times New Roman" w:cs="Times New Roman"/>
          <w:sz w:val="28"/>
          <w:szCs w:val="28"/>
          <w:shd w:val="clear" w:color="auto" w:fill="FFFFFF"/>
        </w:rPr>
        <w:t xml:space="preserve"> функций разных групп населения, и в учебном процессе.</w:t>
      </w:r>
    </w:p>
    <w:p w14:paraId="384B5AAB" w14:textId="370835C6" w:rsidR="00E7415B" w:rsidRPr="004F5888" w:rsidRDefault="004F5888" w:rsidP="004F5888">
      <w:pPr>
        <w:spacing w:after="0" w:line="240" w:lineRule="auto"/>
        <w:ind w:firstLine="426"/>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w:t>
      </w:r>
    </w:p>
    <w:p w14:paraId="3DE22AB0" w14:textId="77777777" w:rsidR="00E7415B" w:rsidRPr="004F5888" w:rsidRDefault="00E7415B" w:rsidP="004F5888">
      <w:pPr>
        <w:spacing w:after="0" w:line="240" w:lineRule="auto"/>
        <w:jc w:val="both"/>
        <w:rPr>
          <w:rFonts w:ascii="Times New Roman" w:eastAsia="Times New Roman" w:hAnsi="Times New Roman" w:cs="Times New Roman"/>
          <w:b/>
          <w:bCs/>
          <w:sz w:val="28"/>
          <w:szCs w:val="28"/>
          <w:shd w:val="clear" w:color="auto" w:fill="FFFFFF"/>
        </w:rPr>
      </w:pPr>
      <w:r w:rsidRPr="004F5888">
        <w:rPr>
          <w:rFonts w:ascii="Times New Roman" w:eastAsia="Times New Roman" w:hAnsi="Times New Roman" w:cs="Times New Roman"/>
          <w:b/>
          <w:bCs/>
          <w:sz w:val="28"/>
          <w:szCs w:val="28"/>
          <w:shd w:val="clear" w:color="auto" w:fill="FFFFFF"/>
        </w:rPr>
        <w:t xml:space="preserve">Методы исследования </w:t>
      </w:r>
      <w:r w:rsidRPr="004F5888">
        <w:rPr>
          <w:rFonts w:ascii="Times New Roman" w:eastAsia="Times New Roman" w:hAnsi="Times New Roman" w:cs="Times New Roman"/>
          <w:b/>
          <w:bCs/>
          <w:sz w:val="28"/>
          <w:szCs w:val="28"/>
          <w:shd w:val="clear" w:color="auto" w:fill="FFFFFF"/>
        </w:rPr>
        <w:tab/>
      </w:r>
    </w:p>
    <w:p w14:paraId="288C703D" w14:textId="19290B2B" w:rsidR="00E7415B" w:rsidRPr="004F5888" w:rsidRDefault="00E7415B" w:rsidP="004F5888">
      <w:pPr>
        <w:spacing w:after="0" w:line="240" w:lineRule="auto"/>
        <w:ind w:firstLine="709"/>
        <w:jc w:val="both"/>
        <w:rPr>
          <w:rFonts w:ascii="Times New Roman" w:eastAsia="Times New Roman" w:hAnsi="Times New Roman" w:cs="Times New Roman"/>
          <w:sz w:val="28"/>
          <w:szCs w:val="28"/>
          <w:shd w:val="clear" w:color="auto" w:fill="FFFFFF"/>
        </w:rPr>
      </w:pPr>
      <w:r w:rsidRPr="004F5888">
        <w:rPr>
          <w:rFonts w:ascii="Times New Roman" w:eastAsia="Times New Roman" w:hAnsi="Times New Roman" w:cs="Times New Roman"/>
          <w:sz w:val="28"/>
          <w:szCs w:val="28"/>
          <w:shd w:val="clear" w:color="auto" w:fill="FFFFFF"/>
        </w:rPr>
        <w:t>1. Аналитический метод</w:t>
      </w:r>
      <w:r w:rsidR="0032273E" w:rsidRPr="004F5888">
        <w:rPr>
          <w:rFonts w:ascii="Times New Roman" w:eastAsia="Times New Roman" w:hAnsi="Times New Roman" w:cs="Times New Roman"/>
          <w:sz w:val="28"/>
          <w:szCs w:val="28"/>
          <w:shd w:val="clear" w:color="auto" w:fill="FFFFFF"/>
        </w:rPr>
        <w:t>.</w:t>
      </w:r>
    </w:p>
    <w:p w14:paraId="2EBAA6E2" w14:textId="77777777" w:rsidR="00E7415B" w:rsidRPr="004F5888" w:rsidRDefault="00E7415B" w:rsidP="004F5888">
      <w:pPr>
        <w:spacing w:after="0" w:line="240" w:lineRule="auto"/>
        <w:ind w:firstLine="709"/>
        <w:jc w:val="both"/>
        <w:rPr>
          <w:rFonts w:ascii="Times New Roman" w:eastAsia="Times New Roman" w:hAnsi="Times New Roman" w:cs="Times New Roman"/>
          <w:sz w:val="28"/>
          <w:szCs w:val="28"/>
          <w:shd w:val="clear" w:color="auto" w:fill="FFFFFF"/>
        </w:rPr>
      </w:pPr>
      <w:r w:rsidRPr="004F5888">
        <w:rPr>
          <w:rFonts w:ascii="Times New Roman" w:eastAsia="Times New Roman" w:hAnsi="Times New Roman" w:cs="Times New Roman"/>
          <w:sz w:val="28"/>
          <w:szCs w:val="28"/>
          <w:shd w:val="clear" w:color="auto" w:fill="FFFFFF"/>
        </w:rPr>
        <w:t xml:space="preserve">2. Социологический метод: </w:t>
      </w:r>
    </w:p>
    <w:p w14:paraId="49A0F3F5" w14:textId="77777777" w:rsidR="00E7415B" w:rsidRPr="004F5888" w:rsidRDefault="00E7415B" w:rsidP="004F5888">
      <w:pPr>
        <w:spacing w:after="0" w:line="240" w:lineRule="auto"/>
        <w:ind w:firstLine="709"/>
        <w:jc w:val="both"/>
        <w:rPr>
          <w:rFonts w:ascii="Times New Roman" w:eastAsia="Times New Roman" w:hAnsi="Times New Roman" w:cs="Times New Roman"/>
          <w:sz w:val="28"/>
          <w:szCs w:val="28"/>
          <w:shd w:val="clear" w:color="auto" w:fill="FFFFFF"/>
        </w:rPr>
      </w:pPr>
      <w:r w:rsidRPr="004F5888">
        <w:rPr>
          <w:rFonts w:ascii="Times New Roman" w:eastAsia="Times New Roman" w:hAnsi="Times New Roman" w:cs="Times New Roman"/>
          <w:sz w:val="28"/>
          <w:szCs w:val="28"/>
          <w:shd w:val="clear" w:color="auto" w:fill="FFFFFF"/>
        </w:rPr>
        <w:t>Анкетирование, сплошная выборка.</w:t>
      </w:r>
    </w:p>
    <w:p w14:paraId="3EBBDF43" w14:textId="5EA30E1D" w:rsidR="00E7415B" w:rsidRPr="00AC352A" w:rsidRDefault="00E7415B" w:rsidP="004F5888">
      <w:pPr>
        <w:spacing w:after="0" w:line="240" w:lineRule="auto"/>
        <w:ind w:firstLine="709"/>
        <w:jc w:val="both"/>
        <w:rPr>
          <w:rFonts w:ascii="Times New Roman" w:eastAsia="Times New Roman" w:hAnsi="Times New Roman" w:cs="Times New Roman"/>
          <w:sz w:val="24"/>
          <w:szCs w:val="24"/>
          <w:shd w:val="clear" w:color="auto" w:fill="FFFFFF"/>
        </w:rPr>
      </w:pPr>
      <w:r w:rsidRPr="004F5888">
        <w:rPr>
          <w:rFonts w:ascii="Times New Roman" w:eastAsia="Times New Roman" w:hAnsi="Times New Roman" w:cs="Times New Roman"/>
          <w:sz w:val="28"/>
          <w:szCs w:val="28"/>
          <w:shd w:val="clear" w:color="auto" w:fill="FFFFFF"/>
        </w:rPr>
        <w:t>Анкетирование проводилось</w:t>
      </w:r>
      <w:r w:rsidR="00323D6C" w:rsidRPr="004F5888">
        <w:rPr>
          <w:rFonts w:ascii="Times New Roman" w:eastAsia="Times New Roman" w:hAnsi="Times New Roman" w:cs="Times New Roman"/>
          <w:sz w:val="28"/>
          <w:szCs w:val="28"/>
          <w:shd w:val="clear" w:color="auto" w:fill="FFFFFF"/>
        </w:rPr>
        <w:t xml:space="preserve"> в общественных местах г. Караганды (общественный</w:t>
      </w:r>
      <w:r w:rsidR="00323D6C">
        <w:rPr>
          <w:rFonts w:ascii="Times New Roman" w:eastAsia="Times New Roman" w:hAnsi="Times New Roman" w:cs="Times New Roman"/>
          <w:sz w:val="24"/>
          <w:szCs w:val="24"/>
          <w:shd w:val="clear" w:color="auto" w:fill="FFFFFF"/>
        </w:rPr>
        <w:t xml:space="preserve"> транспорт, ТРЦ, поликлиники).</w:t>
      </w:r>
    </w:p>
    <w:p w14:paraId="2D0E70A5" w14:textId="30615197" w:rsidR="00E7415B" w:rsidRPr="00AC352A" w:rsidRDefault="00E7415B" w:rsidP="00616884">
      <w:pPr>
        <w:ind w:firstLine="142"/>
        <w:jc w:val="both"/>
        <w:rPr>
          <w:rFonts w:ascii="Times New Roman" w:eastAsia="Times New Roman" w:hAnsi="Times New Roman" w:cs="Times New Roman"/>
          <w:b/>
          <w:bCs/>
          <w:sz w:val="24"/>
          <w:szCs w:val="24"/>
          <w:shd w:val="clear" w:color="auto" w:fill="FFFFFF"/>
        </w:rPr>
      </w:pPr>
      <w:r w:rsidRPr="00AC352A">
        <w:rPr>
          <w:rFonts w:ascii="Times New Roman" w:eastAsia="Times New Roman" w:hAnsi="Times New Roman" w:cs="Times New Roman"/>
          <w:b/>
          <w:bCs/>
          <w:sz w:val="24"/>
          <w:szCs w:val="24"/>
          <w:shd w:val="clear" w:color="auto" w:fill="FFFFFF"/>
        </w:rPr>
        <w:br w:type="page"/>
      </w:r>
    </w:p>
    <w:p w14:paraId="7FCDBA6B" w14:textId="5D101297" w:rsidR="00C7150B" w:rsidRDefault="00C7150B" w:rsidP="00C7150B">
      <w:pPr>
        <w:jc w:val="center"/>
        <w:rPr>
          <w:rFonts w:ascii="Times New Roman" w:eastAsia="Times New Roman" w:hAnsi="Times New Roman"/>
          <w:b/>
          <w:sz w:val="28"/>
          <w:szCs w:val="28"/>
        </w:rPr>
      </w:pPr>
      <w:r w:rsidRPr="00FE2E5E">
        <w:rPr>
          <w:rFonts w:ascii="Times New Roman" w:eastAsia="Times New Roman" w:hAnsi="Times New Roman"/>
          <w:b/>
          <w:sz w:val="28"/>
          <w:szCs w:val="28"/>
        </w:rPr>
        <w:lastRenderedPageBreak/>
        <w:t xml:space="preserve">ГЛАВА 1. ТЕОРЕТИЧЕСКИЕ АСПЕКТЫ ИЗУЧЕНИЯ </w:t>
      </w:r>
      <w:r>
        <w:rPr>
          <w:rFonts w:ascii="Times New Roman" w:eastAsia="Times New Roman" w:hAnsi="Times New Roman"/>
          <w:b/>
          <w:sz w:val="28"/>
          <w:szCs w:val="28"/>
        </w:rPr>
        <w:t xml:space="preserve"> БОЛЕЗНИ АЛЬЦГЕЙМЕРА </w:t>
      </w:r>
      <w:r w:rsidRPr="00FE2E5E">
        <w:rPr>
          <w:rFonts w:ascii="Times New Roman" w:eastAsia="Times New Roman" w:hAnsi="Times New Roman"/>
          <w:b/>
          <w:sz w:val="28"/>
          <w:szCs w:val="28"/>
        </w:rPr>
        <w:t>В МИРЕ И КАЗАХСТАНЕ</w:t>
      </w:r>
      <w:r>
        <w:rPr>
          <w:rFonts w:ascii="Times New Roman" w:eastAsia="Times New Roman" w:hAnsi="Times New Roman"/>
          <w:b/>
          <w:sz w:val="28"/>
          <w:szCs w:val="28"/>
        </w:rPr>
        <w:t>.</w:t>
      </w:r>
    </w:p>
    <w:p w14:paraId="018A1D62" w14:textId="77777777" w:rsidR="00C7150B" w:rsidRDefault="00C7150B" w:rsidP="00E7415B">
      <w:pPr>
        <w:spacing w:after="0" w:line="240" w:lineRule="auto"/>
        <w:ind w:right="-1" w:firstLine="709"/>
        <w:jc w:val="both"/>
        <w:rPr>
          <w:rFonts w:ascii="Times New Roman" w:eastAsia="Times New Roman" w:hAnsi="Times New Roman" w:cs="Times New Roman"/>
          <w:b/>
          <w:sz w:val="24"/>
          <w:szCs w:val="24"/>
          <w:shd w:val="clear" w:color="auto" w:fill="FFFFFF"/>
        </w:rPr>
      </w:pPr>
    </w:p>
    <w:p w14:paraId="53E7D470" w14:textId="77777777" w:rsidR="00C7150B" w:rsidRDefault="00C7150B" w:rsidP="00E7415B">
      <w:pPr>
        <w:spacing w:after="0" w:line="240" w:lineRule="auto"/>
        <w:ind w:right="-1" w:firstLine="709"/>
        <w:jc w:val="both"/>
        <w:rPr>
          <w:rFonts w:ascii="Times New Roman" w:eastAsia="Times New Roman" w:hAnsi="Times New Roman" w:cs="Times New Roman"/>
          <w:b/>
          <w:sz w:val="24"/>
          <w:szCs w:val="24"/>
          <w:shd w:val="clear" w:color="auto" w:fill="FFFFFF"/>
        </w:rPr>
      </w:pPr>
    </w:p>
    <w:p w14:paraId="4C14288F" w14:textId="160232EE" w:rsidR="001E0D58" w:rsidRDefault="001E0D58" w:rsidP="008959E1">
      <w:pPr>
        <w:spacing w:after="0" w:line="240" w:lineRule="auto"/>
        <w:ind w:left="-284" w:right="-1" w:firstLine="709"/>
        <w:jc w:val="center"/>
        <w:rPr>
          <w:rFonts w:ascii="Times New Roman" w:eastAsia="Times New Roman" w:hAnsi="Times New Roman" w:cs="Times New Roman"/>
          <w:b/>
          <w:sz w:val="24"/>
          <w:szCs w:val="24"/>
          <w:shd w:val="clear" w:color="auto" w:fill="FFFFFF"/>
        </w:rPr>
      </w:pPr>
      <w:r w:rsidRPr="001E0D58">
        <w:rPr>
          <w:rFonts w:ascii="Times New Roman" w:eastAsia="Times New Roman" w:hAnsi="Times New Roman" w:cs="Times New Roman"/>
          <w:b/>
          <w:noProof/>
          <w:sz w:val="24"/>
          <w:szCs w:val="24"/>
          <w:shd w:val="clear" w:color="auto" w:fill="FFFFFF"/>
          <w:lang w:val="en-US"/>
        </w:rPr>
        <w:drawing>
          <wp:inline distT="0" distB="0" distL="0" distR="0" wp14:anchorId="51F27841" wp14:editId="5207A953">
            <wp:extent cx="6480175" cy="3506470"/>
            <wp:effectExtent l="0" t="0" r="0" b="0"/>
            <wp:docPr id="7" name="Рисунок 6" descr="C:\Users\Амир\Downloads\screenshot.png"/>
            <wp:cNvGraphicFramePr/>
            <a:graphic xmlns:a="http://schemas.openxmlformats.org/drawingml/2006/main">
              <a:graphicData uri="http://schemas.openxmlformats.org/drawingml/2006/picture">
                <pic:pic xmlns:pic="http://schemas.openxmlformats.org/drawingml/2006/picture">
                  <pic:nvPicPr>
                    <pic:cNvPr id="7" name="Рисунок 6" descr="C:\Users\Амир\Downloads\screenshot.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175" cy="3506470"/>
                    </a:xfrm>
                    <a:prstGeom prst="rect">
                      <a:avLst/>
                    </a:prstGeom>
                    <a:noFill/>
                    <a:ln>
                      <a:noFill/>
                    </a:ln>
                  </pic:spPr>
                </pic:pic>
              </a:graphicData>
            </a:graphic>
          </wp:inline>
        </w:drawing>
      </w:r>
    </w:p>
    <w:p w14:paraId="687548E6" w14:textId="77777777" w:rsidR="008959E1" w:rsidRPr="004F5888" w:rsidRDefault="008959E1" w:rsidP="004F5888">
      <w:pPr>
        <w:spacing w:after="0" w:line="240" w:lineRule="auto"/>
        <w:jc w:val="center"/>
        <w:rPr>
          <w:rFonts w:ascii="Times New Roman" w:eastAsia="MS Mincho" w:hAnsi="Times New Roman" w:cs="Times New Roman"/>
          <w:i/>
          <w:sz w:val="28"/>
          <w:szCs w:val="28"/>
        </w:rPr>
      </w:pPr>
      <w:r w:rsidRPr="004F5888">
        <w:rPr>
          <w:rFonts w:ascii="Times New Roman" w:eastAsia="MS Mincho" w:hAnsi="Times New Roman" w:cs="Times New Roman"/>
          <w:i/>
          <w:sz w:val="28"/>
          <w:szCs w:val="28"/>
        </w:rPr>
        <w:t xml:space="preserve">Рисунок 1 -  </w:t>
      </w:r>
      <w:r w:rsidRPr="004F5888">
        <w:rPr>
          <w:rFonts w:ascii="Times New Roman" w:eastAsia="MS Mincho" w:hAnsi="Times New Roman" w:cs="Times New Roman"/>
          <w:bCs/>
          <w:i/>
          <w:sz w:val="28"/>
          <w:szCs w:val="28"/>
        </w:rPr>
        <w:t>Визуализация причин смерти от различных заболеваний по долям в мире</w:t>
      </w:r>
    </w:p>
    <w:p w14:paraId="5FEBA012" w14:textId="38427452" w:rsidR="008959E1" w:rsidRPr="004F5888" w:rsidRDefault="008959E1" w:rsidP="004F5888">
      <w:pPr>
        <w:spacing w:after="0" w:line="240" w:lineRule="auto"/>
        <w:jc w:val="center"/>
        <w:rPr>
          <w:rFonts w:ascii="Times New Roman" w:eastAsia="MS Mincho" w:hAnsi="Times New Roman" w:cs="Times New Roman"/>
          <w:i/>
          <w:sz w:val="28"/>
          <w:szCs w:val="28"/>
        </w:rPr>
      </w:pPr>
    </w:p>
    <w:p w14:paraId="6D689366" w14:textId="77777777" w:rsidR="008959E1" w:rsidRPr="004F5888" w:rsidRDefault="008959E1" w:rsidP="004F5888">
      <w:pPr>
        <w:spacing w:after="0" w:line="240" w:lineRule="auto"/>
        <w:ind w:left="-284" w:right="-1" w:firstLine="709"/>
        <w:jc w:val="center"/>
        <w:rPr>
          <w:rFonts w:ascii="Times New Roman" w:eastAsia="Times New Roman" w:hAnsi="Times New Roman" w:cs="Times New Roman"/>
          <w:b/>
          <w:sz w:val="28"/>
          <w:szCs w:val="28"/>
          <w:shd w:val="clear" w:color="auto" w:fill="FFFFFF"/>
        </w:rPr>
      </w:pPr>
    </w:p>
    <w:p w14:paraId="38094D98" w14:textId="11C0227B" w:rsidR="003B4BB3" w:rsidRPr="004F5888" w:rsidRDefault="003B4BB3"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На рисунке 1 выше по данным Института изучения и оценки здоровья(</w:t>
      </w:r>
      <w:r w:rsidRPr="004F5888">
        <w:rPr>
          <w:rFonts w:ascii="Times New Roman" w:hAnsi="Times New Roman" w:cs="Times New Roman"/>
          <w:sz w:val="28"/>
          <w:szCs w:val="28"/>
          <w:lang w:val="en-US"/>
        </w:rPr>
        <w:t>IHME</w:t>
      </w:r>
      <w:r w:rsidRPr="004F5888">
        <w:rPr>
          <w:rFonts w:ascii="Times New Roman" w:hAnsi="Times New Roman" w:cs="Times New Roman"/>
          <w:sz w:val="28"/>
          <w:szCs w:val="28"/>
        </w:rPr>
        <w:t>) отражена  доля причин смертности различных заболеваний по миру</w:t>
      </w:r>
      <w:r w:rsidR="00CA3ED5">
        <w:rPr>
          <w:rFonts w:ascii="Times New Roman" w:hAnsi="Times New Roman" w:cs="Times New Roman"/>
          <w:sz w:val="28"/>
          <w:szCs w:val="28"/>
        </w:rPr>
        <w:t xml:space="preserve"> </w:t>
      </w:r>
      <w:r w:rsidR="00CA3ED5" w:rsidRPr="00CA3ED5">
        <w:rPr>
          <w:rFonts w:ascii="Times New Roman" w:hAnsi="Times New Roman" w:cs="Times New Roman"/>
          <w:sz w:val="28"/>
          <w:szCs w:val="28"/>
          <w:highlight w:val="green"/>
        </w:rPr>
        <w:t>на 2019 год</w:t>
      </w:r>
      <w:r w:rsidRPr="004F5888">
        <w:rPr>
          <w:rFonts w:ascii="Times New Roman" w:hAnsi="Times New Roman" w:cs="Times New Roman"/>
          <w:sz w:val="28"/>
          <w:szCs w:val="28"/>
        </w:rPr>
        <w:t xml:space="preserve">. Из них 2,87% составляет Болезнь Альцгеймера. Доля смерти Болезни Альцгеймера и диабета практически сопоставимы. К примеру доля причин смерти от ИБС составляет 16,17%, соответственно доля причин смерти БА всего в 6 раз меньше. </w:t>
      </w:r>
    </w:p>
    <w:p w14:paraId="1210C9E0" w14:textId="77777777" w:rsidR="003B4BB3" w:rsidRPr="004F5888" w:rsidRDefault="003B4BB3" w:rsidP="004F5888">
      <w:pPr>
        <w:spacing w:after="0" w:line="240" w:lineRule="auto"/>
        <w:ind w:right="-1" w:firstLine="709"/>
        <w:jc w:val="both"/>
        <w:rPr>
          <w:rFonts w:ascii="Times New Roman" w:eastAsia="Times New Roman" w:hAnsi="Times New Roman" w:cs="Times New Roman"/>
          <w:b/>
          <w:sz w:val="28"/>
          <w:szCs w:val="28"/>
          <w:shd w:val="clear" w:color="auto" w:fill="FFFFFF"/>
        </w:rPr>
      </w:pPr>
    </w:p>
    <w:p w14:paraId="11A8831C" w14:textId="77777777" w:rsidR="00A37140" w:rsidRPr="004F5888" w:rsidRDefault="00A37140" w:rsidP="004F5888">
      <w:pPr>
        <w:spacing w:after="0" w:line="240" w:lineRule="auto"/>
        <w:ind w:right="-1" w:firstLine="709"/>
        <w:jc w:val="both"/>
        <w:rPr>
          <w:rFonts w:ascii="Times New Roman" w:eastAsia="Times New Roman" w:hAnsi="Times New Roman" w:cs="Times New Roman"/>
          <w:b/>
          <w:sz w:val="28"/>
          <w:szCs w:val="28"/>
          <w:shd w:val="clear" w:color="auto" w:fill="FFFFFF"/>
        </w:rPr>
      </w:pPr>
    </w:p>
    <w:p w14:paraId="7702B609" w14:textId="3F75E70B" w:rsidR="001E0D58" w:rsidRPr="004F5888" w:rsidRDefault="001E0D58" w:rsidP="004F5888">
      <w:pPr>
        <w:spacing w:after="0" w:line="240" w:lineRule="auto"/>
        <w:ind w:left="-284" w:right="-1" w:firstLine="709"/>
        <w:jc w:val="center"/>
        <w:rPr>
          <w:rFonts w:ascii="Times New Roman" w:eastAsia="Times New Roman" w:hAnsi="Times New Roman" w:cs="Times New Roman"/>
          <w:b/>
          <w:sz w:val="28"/>
          <w:szCs w:val="28"/>
          <w:shd w:val="clear" w:color="auto" w:fill="FFFFFF"/>
        </w:rPr>
      </w:pPr>
      <w:r w:rsidRPr="004F5888">
        <w:rPr>
          <w:rFonts w:ascii="Times New Roman" w:eastAsia="Times New Roman" w:hAnsi="Times New Roman" w:cs="Times New Roman"/>
          <w:b/>
          <w:noProof/>
          <w:sz w:val="28"/>
          <w:szCs w:val="28"/>
          <w:shd w:val="clear" w:color="auto" w:fill="FFFFFF"/>
          <w:lang w:val="en-US"/>
        </w:rPr>
        <w:lastRenderedPageBreak/>
        <w:drawing>
          <wp:inline distT="0" distB="0" distL="0" distR="0" wp14:anchorId="642EB3D5" wp14:editId="0DDAF1B1">
            <wp:extent cx="6480175" cy="324612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3246120"/>
                    </a:xfrm>
                    <a:prstGeom prst="rect">
                      <a:avLst/>
                    </a:prstGeom>
                  </pic:spPr>
                </pic:pic>
              </a:graphicData>
            </a:graphic>
          </wp:inline>
        </w:drawing>
      </w:r>
    </w:p>
    <w:p w14:paraId="45B719F7" w14:textId="65BB1B80" w:rsidR="008959E1" w:rsidRPr="004F5888" w:rsidRDefault="008959E1" w:rsidP="004F5888">
      <w:pPr>
        <w:spacing w:after="0" w:line="240" w:lineRule="auto"/>
        <w:ind w:right="-1"/>
        <w:jc w:val="center"/>
        <w:rPr>
          <w:rFonts w:ascii="Times New Roman" w:eastAsia="Times New Roman" w:hAnsi="Times New Roman" w:cs="Times New Roman"/>
          <w:b/>
          <w:sz w:val="28"/>
          <w:szCs w:val="28"/>
          <w:shd w:val="clear" w:color="auto" w:fill="FFFFFF"/>
        </w:rPr>
      </w:pPr>
      <w:r w:rsidRPr="004F5888">
        <w:rPr>
          <w:rFonts w:ascii="Times New Roman" w:eastAsia="MS Mincho" w:hAnsi="Times New Roman" w:cs="Times New Roman"/>
          <w:i/>
          <w:sz w:val="28"/>
          <w:szCs w:val="28"/>
        </w:rPr>
        <w:t xml:space="preserve">Рисунок 2 -  </w:t>
      </w:r>
      <w:r w:rsidRPr="004F5888">
        <w:rPr>
          <w:rFonts w:ascii="Times New Roman" w:eastAsia="Times New Roman" w:hAnsi="Times New Roman" w:cs="Times New Roman"/>
          <w:bCs/>
          <w:i/>
          <w:sz w:val="28"/>
          <w:szCs w:val="28"/>
          <w:shd w:val="clear" w:color="auto" w:fill="FFFFFF"/>
        </w:rPr>
        <w:t>График заболеваемости БА  среди различных стран на 1990-2020 г.</w:t>
      </w:r>
    </w:p>
    <w:p w14:paraId="4F56FAAE" w14:textId="08F8A3F8" w:rsidR="008959E1" w:rsidRPr="004F5888" w:rsidRDefault="008959E1" w:rsidP="004F5888">
      <w:pPr>
        <w:spacing w:after="0" w:line="240" w:lineRule="auto"/>
        <w:jc w:val="center"/>
        <w:rPr>
          <w:rFonts w:ascii="Times New Roman" w:eastAsia="MS Mincho" w:hAnsi="Times New Roman" w:cs="Times New Roman"/>
          <w:i/>
          <w:sz w:val="28"/>
          <w:szCs w:val="28"/>
        </w:rPr>
      </w:pPr>
    </w:p>
    <w:p w14:paraId="292D710E" w14:textId="77777777" w:rsidR="008959E1" w:rsidRPr="004F5888" w:rsidRDefault="008959E1" w:rsidP="004F5888">
      <w:pPr>
        <w:spacing w:after="0" w:line="240" w:lineRule="auto"/>
        <w:ind w:right="-1" w:firstLine="709"/>
        <w:jc w:val="both"/>
        <w:rPr>
          <w:rFonts w:ascii="Times New Roman" w:eastAsia="Times New Roman" w:hAnsi="Times New Roman" w:cs="Times New Roman"/>
          <w:b/>
          <w:sz w:val="28"/>
          <w:szCs w:val="28"/>
          <w:shd w:val="clear" w:color="auto" w:fill="FFFFFF"/>
        </w:rPr>
      </w:pPr>
    </w:p>
    <w:p w14:paraId="6A5845D3" w14:textId="77777777" w:rsidR="00A37140" w:rsidRPr="004F5888" w:rsidRDefault="00A37140" w:rsidP="004F5888">
      <w:pPr>
        <w:spacing w:after="0" w:line="240" w:lineRule="auto"/>
        <w:ind w:right="-1" w:firstLine="709"/>
        <w:jc w:val="both"/>
        <w:rPr>
          <w:rFonts w:ascii="Times New Roman" w:eastAsia="Times New Roman" w:hAnsi="Times New Roman" w:cs="Times New Roman"/>
          <w:b/>
          <w:sz w:val="28"/>
          <w:szCs w:val="28"/>
          <w:shd w:val="clear" w:color="auto" w:fill="FFFFFF"/>
          <w:lang w:val="en-US"/>
        </w:rPr>
      </w:pPr>
      <w:r w:rsidRPr="004F5888">
        <w:rPr>
          <w:rFonts w:ascii="Times New Roman" w:eastAsia="Times New Roman" w:hAnsi="Times New Roman" w:cs="Times New Roman"/>
          <w:b/>
          <w:bCs/>
          <w:sz w:val="28"/>
          <w:szCs w:val="28"/>
          <w:shd w:val="clear" w:color="auto" w:fill="FFFFFF"/>
        </w:rPr>
        <w:t>Казахстан</w:t>
      </w:r>
    </w:p>
    <w:p w14:paraId="577BA6A3" w14:textId="7C05CC14" w:rsidR="00A37140" w:rsidRPr="004F5888" w:rsidRDefault="00A37140" w:rsidP="004F5888">
      <w:pPr>
        <w:spacing w:after="0" w:line="240" w:lineRule="auto"/>
        <w:ind w:right="-1" w:firstLine="709"/>
        <w:jc w:val="both"/>
        <w:rPr>
          <w:rFonts w:ascii="Times New Roman" w:eastAsia="Times New Roman" w:hAnsi="Times New Roman" w:cs="Times New Roman"/>
          <w:b/>
          <w:sz w:val="28"/>
          <w:szCs w:val="28"/>
          <w:shd w:val="clear" w:color="auto" w:fill="FFFFFF"/>
        </w:rPr>
      </w:pPr>
      <w:r w:rsidRPr="004F5888">
        <w:rPr>
          <w:rFonts w:ascii="Times New Roman" w:eastAsia="Times New Roman" w:hAnsi="Times New Roman" w:cs="Times New Roman"/>
          <w:b/>
          <w:sz w:val="28"/>
          <w:szCs w:val="28"/>
          <w:shd w:val="clear" w:color="auto" w:fill="FFFFFF"/>
        </w:rPr>
        <w:t>12 000 новых случаев на 2019 год</w:t>
      </w:r>
    </w:p>
    <w:p w14:paraId="749F410C" w14:textId="77777777" w:rsidR="008959E1" w:rsidRPr="004F5888" w:rsidRDefault="00A37140" w:rsidP="004F5888">
      <w:pPr>
        <w:spacing w:after="0" w:line="240" w:lineRule="auto"/>
        <w:ind w:right="-1" w:firstLine="709"/>
        <w:jc w:val="both"/>
        <w:rPr>
          <w:rFonts w:ascii="Times New Roman" w:eastAsia="Times New Roman" w:hAnsi="Times New Roman" w:cs="Times New Roman"/>
          <w:b/>
          <w:bCs/>
          <w:sz w:val="28"/>
          <w:szCs w:val="28"/>
          <w:shd w:val="clear" w:color="auto" w:fill="FFFFFF"/>
        </w:rPr>
      </w:pPr>
      <w:r w:rsidRPr="004F5888">
        <w:rPr>
          <w:rFonts w:ascii="Times New Roman" w:eastAsia="Times New Roman" w:hAnsi="Times New Roman" w:cs="Times New Roman"/>
          <w:b/>
          <w:noProof/>
          <w:sz w:val="28"/>
          <w:szCs w:val="28"/>
          <w:shd w:val="clear" w:color="auto" w:fill="FFFFFF"/>
          <w:lang w:val="en-US"/>
        </w:rPr>
        <w:drawing>
          <wp:inline distT="0" distB="0" distL="0" distR="0" wp14:anchorId="3675C1CC" wp14:editId="1F656995">
            <wp:extent cx="6480175" cy="318516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3185160"/>
                    </a:xfrm>
                    <a:prstGeom prst="rect">
                      <a:avLst/>
                    </a:prstGeom>
                  </pic:spPr>
                </pic:pic>
              </a:graphicData>
            </a:graphic>
          </wp:inline>
        </w:drawing>
      </w:r>
    </w:p>
    <w:p w14:paraId="46FCF7BD" w14:textId="530E16D1" w:rsidR="008959E1" w:rsidRPr="004F5888" w:rsidRDefault="008959E1" w:rsidP="004F5888">
      <w:pPr>
        <w:spacing w:after="0" w:line="240" w:lineRule="auto"/>
        <w:ind w:right="-1" w:firstLine="709"/>
        <w:jc w:val="center"/>
        <w:rPr>
          <w:rFonts w:ascii="Times New Roman" w:eastAsia="Times New Roman" w:hAnsi="Times New Roman" w:cs="Times New Roman"/>
          <w:i/>
          <w:sz w:val="28"/>
          <w:szCs w:val="28"/>
          <w:shd w:val="clear" w:color="auto" w:fill="FFFFFF"/>
        </w:rPr>
      </w:pPr>
      <w:r w:rsidRPr="004F5888">
        <w:rPr>
          <w:rFonts w:ascii="Times New Roman" w:eastAsia="MS Mincho" w:hAnsi="Times New Roman" w:cs="Times New Roman"/>
          <w:i/>
          <w:sz w:val="28"/>
          <w:szCs w:val="28"/>
        </w:rPr>
        <w:t xml:space="preserve">Рисунок 3- </w:t>
      </w:r>
      <w:r w:rsidRPr="004F5888">
        <w:rPr>
          <w:rFonts w:ascii="Times New Roman" w:eastAsia="Times New Roman" w:hAnsi="Times New Roman" w:cs="Times New Roman"/>
          <w:bCs/>
          <w:i/>
          <w:sz w:val="28"/>
          <w:szCs w:val="28"/>
          <w:shd w:val="clear" w:color="auto" w:fill="FFFFFF"/>
        </w:rPr>
        <w:t>График распространенности БА  среди различных стран на 1990-2020 г.</w:t>
      </w:r>
    </w:p>
    <w:p w14:paraId="0FE10D7C" w14:textId="611D957E" w:rsidR="00A37140" w:rsidRPr="004F5888" w:rsidRDefault="00A37140" w:rsidP="004F5888">
      <w:pPr>
        <w:spacing w:after="0" w:line="240" w:lineRule="auto"/>
        <w:ind w:right="-1" w:firstLine="709"/>
        <w:jc w:val="both"/>
        <w:rPr>
          <w:rFonts w:ascii="Times New Roman" w:hAnsi="Times New Roman" w:cs="Times New Roman"/>
          <w:b/>
          <w:sz w:val="28"/>
          <w:szCs w:val="28"/>
          <w:shd w:val="clear" w:color="auto" w:fill="FFFFFF"/>
        </w:rPr>
      </w:pPr>
      <w:r w:rsidRPr="004F5888">
        <w:rPr>
          <w:rFonts w:ascii="Times New Roman" w:eastAsia="Times New Roman" w:hAnsi="Times New Roman" w:cs="Times New Roman"/>
          <w:b/>
          <w:bCs/>
          <w:sz w:val="28"/>
          <w:szCs w:val="28"/>
          <w:shd w:val="clear" w:color="auto" w:fill="FFFFFF"/>
        </w:rPr>
        <w:t>Казахстан</w:t>
      </w:r>
    </w:p>
    <w:p w14:paraId="47CF159A" w14:textId="77777777" w:rsidR="00A37140" w:rsidRPr="004F5888" w:rsidRDefault="00A37140" w:rsidP="004F5888">
      <w:pPr>
        <w:spacing w:after="0" w:line="240" w:lineRule="auto"/>
        <w:ind w:right="-1" w:firstLine="709"/>
        <w:jc w:val="both"/>
        <w:rPr>
          <w:rFonts w:ascii="Times New Roman" w:eastAsia="Times New Roman" w:hAnsi="Times New Roman" w:cs="Times New Roman"/>
          <w:b/>
          <w:sz w:val="28"/>
          <w:szCs w:val="28"/>
          <w:shd w:val="clear" w:color="auto" w:fill="FFFFFF"/>
        </w:rPr>
      </w:pPr>
      <w:r w:rsidRPr="004F5888">
        <w:rPr>
          <w:rFonts w:ascii="Times New Roman" w:eastAsia="Times New Roman" w:hAnsi="Times New Roman" w:cs="Times New Roman"/>
          <w:b/>
          <w:sz w:val="28"/>
          <w:szCs w:val="28"/>
          <w:shd w:val="clear" w:color="auto" w:fill="FFFFFF"/>
        </w:rPr>
        <w:t xml:space="preserve">86 940 случаев </w:t>
      </w:r>
    </w:p>
    <w:p w14:paraId="3AD6C2F3" w14:textId="20015910" w:rsidR="00A37140" w:rsidRPr="004F5888" w:rsidRDefault="00A37140" w:rsidP="004F5888">
      <w:pPr>
        <w:spacing w:after="0" w:line="240" w:lineRule="auto"/>
        <w:ind w:right="-1" w:firstLine="709"/>
        <w:jc w:val="both"/>
        <w:rPr>
          <w:rFonts w:ascii="Times New Roman" w:eastAsia="Times New Roman" w:hAnsi="Times New Roman" w:cs="Times New Roman"/>
          <w:b/>
          <w:bCs/>
          <w:sz w:val="28"/>
          <w:szCs w:val="28"/>
          <w:shd w:val="clear" w:color="auto" w:fill="FFFFFF"/>
        </w:rPr>
      </w:pPr>
      <w:r w:rsidRPr="004F5888">
        <w:rPr>
          <w:rFonts w:ascii="Times New Roman" w:eastAsia="Times New Roman" w:hAnsi="Times New Roman" w:cs="Times New Roman"/>
          <w:b/>
          <w:bCs/>
          <w:sz w:val="28"/>
          <w:szCs w:val="28"/>
          <w:shd w:val="clear" w:color="auto" w:fill="FFFFFF"/>
        </w:rPr>
        <w:t xml:space="preserve">График смертности от БА  среди различных стран на 1990-2020 г. </w:t>
      </w:r>
    </w:p>
    <w:p w14:paraId="6EC28836" w14:textId="0FF62998" w:rsidR="00A37140" w:rsidRPr="004F5888" w:rsidRDefault="00A37140" w:rsidP="004F5888">
      <w:pPr>
        <w:spacing w:after="0" w:line="240" w:lineRule="auto"/>
        <w:ind w:right="-1" w:firstLine="709"/>
        <w:jc w:val="center"/>
        <w:rPr>
          <w:rFonts w:ascii="Times New Roman" w:hAnsi="Times New Roman" w:cs="Times New Roman"/>
          <w:b/>
          <w:sz w:val="28"/>
          <w:szCs w:val="28"/>
          <w:shd w:val="clear" w:color="auto" w:fill="FFFFFF"/>
        </w:rPr>
      </w:pPr>
      <w:r w:rsidRPr="004F5888">
        <w:rPr>
          <w:rFonts w:ascii="Times New Roman" w:hAnsi="Times New Roman" w:cs="Times New Roman"/>
          <w:b/>
          <w:noProof/>
          <w:sz w:val="28"/>
          <w:szCs w:val="28"/>
          <w:shd w:val="clear" w:color="auto" w:fill="FFFFFF"/>
          <w:lang w:val="en-US"/>
        </w:rPr>
        <w:lastRenderedPageBreak/>
        <w:drawing>
          <wp:inline distT="0" distB="0" distL="0" distR="0" wp14:anchorId="5EA92703" wp14:editId="1CE79C60">
            <wp:extent cx="6480175" cy="318643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3186430"/>
                    </a:xfrm>
                    <a:prstGeom prst="rect">
                      <a:avLst/>
                    </a:prstGeom>
                  </pic:spPr>
                </pic:pic>
              </a:graphicData>
            </a:graphic>
          </wp:inline>
        </w:drawing>
      </w:r>
    </w:p>
    <w:p w14:paraId="1572EFB2" w14:textId="77777777" w:rsidR="008959E1" w:rsidRPr="004F5888" w:rsidRDefault="008959E1" w:rsidP="004F5888">
      <w:pPr>
        <w:spacing w:after="0" w:line="240" w:lineRule="auto"/>
        <w:ind w:right="-1" w:firstLine="709"/>
        <w:jc w:val="center"/>
        <w:rPr>
          <w:rFonts w:ascii="Times New Roman" w:eastAsia="Times New Roman" w:hAnsi="Times New Roman" w:cs="Times New Roman"/>
          <w:i/>
          <w:sz w:val="28"/>
          <w:szCs w:val="28"/>
          <w:shd w:val="clear" w:color="auto" w:fill="FFFFFF"/>
        </w:rPr>
      </w:pPr>
      <w:r w:rsidRPr="004F5888">
        <w:rPr>
          <w:rFonts w:ascii="Times New Roman" w:eastAsia="MS Mincho" w:hAnsi="Times New Roman" w:cs="Times New Roman"/>
          <w:i/>
          <w:sz w:val="28"/>
          <w:szCs w:val="28"/>
        </w:rPr>
        <w:t xml:space="preserve">Рисунок 3- </w:t>
      </w:r>
      <w:r w:rsidRPr="004F5888">
        <w:rPr>
          <w:rFonts w:ascii="Times New Roman" w:eastAsia="Times New Roman" w:hAnsi="Times New Roman" w:cs="Times New Roman"/>
          <w:bCs/>
          <w:i/>
          <w:sz w:val="28"/>
          <w:szCs w:val="28"/>
          <w:shd w:val="clear" w:color="auto" w:fill="FFFFFF"/>
        </w:rPr>
        <w:t>График распространенности БА  среди различных стран на 1990-2020 г.</w:t>
      </w:r>
    </w:p>
    <w:p w14:paraId="71A65760" w14:textId="77777777" w:rsidR="008959E1" w:rsidRPr="004F5888" w:rsidRDefault="008959E1" w:rsidP="004F5888">
      <w:pPr>
        <w:spacing w:after="0" w:line="240" w:lineRule="auto"/>
        <w:ind w:right="-1" w:firstLine="709"/>
        <w:jc w:val="both"/>
        <w:rPr>
          <w:rFonts w:ascii="Times New Roman" w:hAnsi="Times New Roman" w:cs="Times New Roman"/>
          <w:b/>
          <w:sz w:val="28"/>
          <w:szCs w:val="28"/>
          <w:shd w:val="clear" w:color="auto" w:fill="FFFFFF"/>
        </w:rPr>
      </w:pPr>
    </w:p>
    <w:p w14:paraId="660FF750" w14:textId="71B32E58" w:rsidR="00A37140" w:rsidRPr="004F5888" w:rsidRDefault="00A37140" w:rsidP="004F5888">
      <w:pPr>
        <w:spacing w:after="0" w:line="240" w:lineRule="auto"/>
        <w:ind w:right="-1" w:firstLine="709"/>
        <w:jc w:val="both"/>
        <w:rPr>
          <w:rFonts w:ascii="Times New Roman" w:hAnsi="Times New Roman" w:cs="Times New Roman"/>
          <w:b/>
          <w:sz w:val="28"/>
          <w:szCs w:val="28"/>
          <w:shd w:val="clear" w:color="auto" w:fill="FFFFFF"/>
          <w:lang w:val="en-US"/>
        </w:rPr>
      </w:pPr>
      <w:r w:rsidRPr="004F5888">
        <w:rPr>
          <w:rFonts w:ascii="Times New Roman" w:hAnsi="Times New Roman" w:cs="Times New Roman"/>
          <w:b/>
          <w:bCs/>
          <w:sz w:val="28"/>
          <w:szCs w:val="28"/>
          <w:shd w:val="clear" w:color="auto" w:fill="FFFFFF"/>
        </w:rPr>
        <w:t>Казахстан</w:t>
      </w:r>
      <w:r w:rsidRPr="004F5888">
        <w:rPr>
          <w:rFonts w:ascii="Times New Roman" w:hAnsi="Times New Roman" w:cs="Times New Roman"/>
          <w:b/>
          <w:sz w:val="28"/>
          <w:szCs w:val="28"/>
          <w:shd w:val="clear" w:color="auto" w:fill="FFFFFF"/>
          <w:lang w:val="en-US"/>
        </w:rPr>
        <w:t xml:space="preserve">~2300 </w:t>
      </w:r>
      <w:r w:rsidRPr="004F5888">
        <w:rPr>
          <w:rFonts w:ascii="Times New Roman" w:hAnsi="Times New Roman" w:cs="Times New Roman"/>
          <w:b/>
          <w:sz w:val="28"/>
          <w:szCs w:val="28"/>
          <w:shd w:val="clear" w:color="auto" w:fill="FFFFFF"/>
        </w:rPr>
        <w:t>смертей в год</w:t>
      </w:r>
    </w:p>
    <w:p w14:paraId="1EC43D61" w14:textId="77777777" w:rsidR="00A37140" w:rsidRPr="004F5888" w:rsidRDefault="00A37140" w:rsidP="004F5888">
      <w:pPr>
        <w:spacing w:after="0" w:line="240" w:lineRule="auto"/>
        <w:ind w:right="-1" w:firstLine="709"/>
        <w:jc w:val="both"/>
        <w:rPr>
          <w:rFonts w:ascii="Times New Roman" w:hAnsi="Times New Roman" w:cs="Times New Roman"/>
          <w:b/>
          <w:sz w:val="28"/>
          <w:szCs w:val="28"/>
          <w:shd w:val="clear" w:color="auto" w:fill="FFFFFF"/>
        </w:rPr>
      </w:pPr>
    </w:p>
    <w:p w14:paraId="5ABFD149" w14:textId="21A79E6F" w:rsidR="00A37140" w:rsidRPr="004F5888" w:rsidRDefault="00A37140" w:rsidP="004F5888">
      <w:pPr>
        <w:spacing w:after="0" w:line="240" w:lineRule="auto"/>
        <w:ind w:right="-1" w:firstLine="709"/>
        <w:jc w:val="both"/>
        <w:rPr>
          <w:rFonts w:ascii="Times New Roman" w:eastAsia="Times New Roman" w:hAnsi="Times New Roman" w:cs="Times New Roman"/>
          <w:b/>
          <w:sz w:val="28"/>
          <w:szCs w:val="28"/>
          <w:shd w:val="clear" w:color="auto" w:fill="FFFFFF"/>
        </w:rPr>
      </w:pPr>
    </w:p>
    <w:p w14:paraId="00A97C9F" w14:textId="75622FD7" w:rsidR="001E0D58" w:rsidRPr="004F5888" w:rsidRDefault="001E0D58" w:rsidP="004F5888">
      <w:pPr>
        <w:spacing w:after="0" w:line="240" w:lineRule="auto"/>
        <w:ind w:right="-1" w:firstLine="709"/>
        <w:jc w:val="both"/>
        <w:rPr>
          <w:rFonts w:ascii="Times New Roman" w:eastAsia="Times New Roman" w:hAnsi="Times New Roman" w:cs="Times New Roman"/>
          <w:b/>
          <w:sz w:val="28"/>
          <w:szCs w:val="28"/>
          <w:shd w:val="clear" w:color="auto" w:fill="FFFFFF"/>
        </w:rPr>
      </w:pPr>
      <w:r w:rsidRPr="004F5888">
        <w:rPr>
          <w:rFonts w:ascii="Times New Roman" w:hAnsi="Times New Roman" w:cs="Times New Roman"/>
          <w:noProof/>
          <w:sz w:val="28"/>
          <w:szCs w:val="28"/>
          <w:lang w:val="en-US"/>
        </w:rPr>
        <w:drawing>
          <wp:inline distT="0" distB="0" distL="0" distR="0" wp14:anchorId="40C02322" wp14:editId="7F201B87">
            <wp:extent cx="5556739" cy="3539154"/>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85" t="18641" r="28662" b="5575"/>
                    <a:stretch/>
                  </pic:blipFill>
                  <pic:spPr bwMode="auto">
                    <a:xfrm>
                      <a:off x="0" y="0"/>
                      <a:ext cx="5569555" cy="3547317"/>
                    </a:xfrm>
                    <a:prstGeom prst="rect">
                      <a:avLst/>
                    </a:prstGeom>
                    <a:ln>
                      <a:noFill/>
                    </a:ln>
                    <a:extLst>
                      <a:ext uri="{53640926-AAD7-44D8-BBD7-CCE9431645EC}">
                        <a14:shadowObscured xmlns:a14="http://schemas.microsoft.com/office/drawing/2010/main"/>
                      </a:ext>
                    </a:extLst>
                  </pic:spPr>
                </pic:pic>
              </a:graphicData>
            </a:graphic>
          </wp:inline>
        </w:drawing>
      </w:r>
    </w:p>
    <w:p w14:paraId="79A8EE34" w14:textId="0FD79616" w:rsidR="008959E1" w:rsidRPr="004F5888" w:rsidRDefault="008959E1" w:rsidP="004F5888">
      <w:pPr>
        <w:spacing w:after="0" w:line="240" w:lineRule="auto"/>
        <w:ind w:right="-1" w:firstLine="709"/>
        <w:jc w:val="center"/>
        <w:rPr>
          <w:rFonts w:ascii="Times New Roman" w:hAnsi="Times New Roman" w:cs="Times New Roman"/>
          <w:bCs/>
          <w:i/>
          <w:sz w:val="28"/>
          <w:szCs w:val="28"/>
          <w:shd w:val="clear" w:color="auto" w:fill="FFFFFF"/>
        </w:rPr>
      </w:pPr>
      <w:r w:rsidRPr="004F5888">
        <w:rPr>
          <w:rFonts w:ascii="Times New Roman" w:eastAsia="MS Mincho" w:hAnsi="Times New Roman" w:cs="Times New Roman"/>
          <w:i/>
          <w:sz w:val="28"/>
          <w:szCs w:val="28"/>
        </w:rPr>
        <w:t xml:space="preserve">Рисунок 4- </w:t>
      </w:r>
      <w:r w:rsidRPr="004F5888">
        <w:rPr>
          <w:rFonts w:ascii="Times New Roman" w:eastAsia="Times New Roman" w:hAnsi="Times New Roman" w:cs="Times New Roman"/>
          <w:bCs/>
          <w:i/>
          <w:sz w:val="28"/>
          <w:szCs w:val="28"/>
          <w:shd w:val="clear" w:color="auto" w:fill="FFFFFF"/>
        </w:rPr>
        <w:t>Смертность от БА в возрастных группах 40-44 лет в Казахстане среди женщин</w:t>
      </w:r>
    </w:p>
    <w:p w14:paraId="67721519" w14:textId="18C2865A" w:rsidR="008959E1" w:rsidRPr="004F5888" w:rsidRDefault="008959E1" w:rsidP="004F5888">
      <w:pPr>
        <w:spacing w:after="0" w:line="240" w:lineRule="auto"/>
        <w:ind w:right="-1" w:firstLine="709"/>
        <w:jc w:val="center"/>
        <w:rPr>
          <w:rFonts w:ascii="Times New Roman" w:eastAsia="Times New Roman" w:hAnsi="Times New Roman" w:cs="Times New Roman"/>
          <w:i/>
          <w:sz w:val="28"/>
          <w:szCs w:val="28"/>
          <w:shd w:val="clear" w:color="auto" w:fill="FFFFFF"/>
        </w:rPr>
      </w:pPr>
    </w:p>
    <w:p w14:paraId="52D24371" w14:textId="77777777" w:rsidR="008959E1" w:rsidRPr="004F5888" w:rsidRDefault="008959E1" w:rsidP="004F5888">
      <w:pPr>
        <w:spacing w:after="0" w:line="240" w:lineRule="auto"/>
        <w:ind w:right="-1" w:firstLine="709"/>
        <w:jc w:val="center"/>
        <w:rPr>
          <w:rFonts w:ascii="Times New Roman" w:eastAsia="Times New Roman" w:hAnsi="Times New Roman" w:cs="Times New Roman"/>
          <w:b/>
          <w:sz w:val="28"/>
          <w:szCs w:val="28"/>
          <w:shd w:val="clear" w:color="auto" w:fill="FFFFFF"/>
        </w:rPr>
      </w:pPr>
    </w:p>
    <w:p w14:paraId="3664C2DB" w14:textId="53031C53" w:rsidR="00A37140" w:rsidRPr="004F5888" w:rsidRDefault="00A37140" w:rsidP="004F5888">
      <w:pPr>
        <w:spacing w:after="0" w:line="240" w:lineRule="auto"/>
        <w:ind w:right="-1" w:firstLine="709"/>
        <w:jc w:val="both"/>
        <w:rPr>
          <w:rFonts w:ascii="Times New Roman" w:eastAsia="Times New Roman" w:hAnsi="Times New Roman" w:cs="Times New Roman"/>
          <w:b/>
          <w:sz w:val="28"/>
          <w:szCs w:val="28"/>
          <w:shd w:val="clear" w:color="auto" w:fill="FFFFFF"/>
        </w:rPr>
      </w:pPr>
      <w:r w:rsidRPr="004F5888">
        <w:rPr>
          <w:rFonts w:ascii="Times New Roman" w:eastAsia="Times New Roman" w:hAnsi="Times New Roman" w:cs="Times New Roman"/>
          <w:b/>
          <w:noProof/>
          <w:sz w:val="28"/>
          <w:szCs w:val="28"/>
          <w:shd w:val="clear" w:color="auto" w:fill="FFFFFF"/>
          <w:lang w:val="en-US"/>
        </w:rPr>
        <w:lastRenderedPageBreak/>
        <w:drawing>
          <wp:inline distT="0" distB="0" distL="0" distR="0" wp14:anchorId="75BE5CAE" wp14:editId="74B889DC">
            <wp:extent cx="5099050" cy="3780692"/>
            <wp:effectExtent l="0" t="0" r="635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2"/>
                    <a:srcRect l="25305" t="19089" r="28924" b="6061"/>
                    <a:stretch/>
                  </pic:blipFill>
                  <pic:spPr>
                    <a:xfrm>
                      <a:off x="0" y="0"/>
                      <a:ext cx="5106388" cy="3786133"/>
                    </a:xfrm>
                    <a:prstGeom prst="rect">
                      <a:avLst/>
                    </a:prstGeom>
                  </pic:spPr>
                </pic:pic>
              </a:graphicData>
            </a:graphic>
          </wp:inline>
        </w:drawing>
      </w:r>
    </w:p>
    <w:p w14:paraId="14A27CED" w14:textId="7E6B05AA" w:rsidR="008959E1" w:rsidRPr="004F5888" w:rsidRDefault="008959E1" w:rsidP="004F5888">
      <w:pPr>
        <w:spacing w:after="0" w:line="240" w:lineRule="auto"/>
        <w:ind w:right="-1" w:firstLine="709"/>
        <w:jc w:val="center"/>
        <w:rPr>
          <w:rFonts w:ascii="Times New Roman" w:hAnsi="Times New Roman" w:cs="Times New Roman"/>
          <w:bCs/>
          <w:i/>
          <w:sz w:val="28"/>
          <w:szCs w:val="28"/>
          <w:shd w:val="clear" w:color="auto" w:fill="FFFFFF"/>
        </w:rPr>
      </w:pPr>
      <w:r w:rsidRPr="004F5888">
        <w:rPr>
          <w:rFonts w:ascii="Times New Roman" w:eastAsia="MS Mincho" w:hAnsi="Times New Roman" w:cs="Times New Roman"/>
          <w:i/>
          <w:sz w:val="28"/>
          <w:szCs w:val="28"/>
        </w:rPr>
        <w:t xml:space="preserve">Рисунок 5- </w:t>
      </w:r>
      <w:r w:rsidRPr="004F5888">
        <w:rPr>
          <w:rFonts w:ascii="Times New Roman" w:eastAsia="Times New Roman" w:hAnsi="Times New Roman" w:cs="Times New Roman"/>
          <w:bCs/>
          <w:i/>
          <w:sz w:val="28"/>
          <w:szCs w:val="28"/>
          <w:shd w:val="clear" w:color="auto" w:fill="FFFFFF"/>
        </w:rPr>
        <w:t>Смертность от БА в возрастных группах 40-44 лет в Казахстане среди мужчин</w:t>
      </w:r>
    </w:p>
    <w:p w14:paraId="39628C05" w14:textId="77777777" w:rsidR="008959E1" w:rsidRPr="004F5888" w:rsidRDefault="008959E1" w:rsidP="004F5888">
      <w:pPr>
        <w:spacing w:after="0" w:line="240" w:lineRule="auto"/>
        <w:ind w:right="-1" w:firstLine="709"/>
        <w:jc w:val="both"/>
        <w:rPr>
          <w:rFonts w:ascii="Times New Roman" w:eastAsia="Times New Roman" w:hAnsi="Times New Roman" w:cs="Times New Roman"/>
          <w:b/>
          <w:sz w:val="28"/>
          <w:szCs w:val="28"/>
          <w:shd w:val="clear" w:color="auto" w:fill="FFFFFF"/>
        </w:rPr>
      </w:pPr>
    </w:p>
    <w:p w14:paraId="1F907B2C" w14:textId="6AC54CD5" w:rsidR="001E0D58" w:rsidRPr="004F5888" w:rsidRDefault="001E0D58" w:rsidP="004F5888">
      <w:pPr>
        <w:spacing w:after="0" w:line="240" w:lineRule="auto"/>
        <w:ind w:right="-1" w:firstLine="709"/>
        <w:jc w:val="both"/>
        <w:rPr>
          <w:rFonts w:ascii="Times New Roman" w:eastAsia="Times New Roman" w:hAnsi="Times New Roman" w:cs="Times New Roman"/>
          <w:b/>
          <w:sz w:val="28"/>
          <w:szCs w:val="28"/>
          <w:shd w:val="clear" w:color="auto" w:fill="FFFFFF"/>
        </w:rPr>
      </w:pPr>
      <w:r w:rsidRPr="004F5888">
        <w:rPr>
          <w:rFonts w:ascii="Times New Roman" w:hAnsi="Times New Roman" w:cs="Times New Roman"/>
          <w:noProof/>
          <w:sz w:val="28"/>
          <w:szCs w:val="28"/>
          <w:lang w:val="en-US"/>
        </w:rPr>
        <w:drawing>
          <wp:inline distT="0" distB="0" distL="0" distR="0" wp14:anchorId="20699946" wp14:editId="670CA7F1">
            <wp:extent cx="5257552" cy="4097216"/>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198" t="18815" r="28270" b="5748"/>
                    <a:stretch/>
                  </pic:blipFill>
                  <pic:spPr bwMode="auto">
                    <a:xfrm>
                      <a:off x="0" y="0"/>
                      <a:ext cx="5275142" cy="4110924"/>
                    </a:xfrm>
                    <a:prstGeom prst="rect">
                      <a:avLst/>
                    </a:prstGeom>
                    <a:ln>
                      <a:noFill/>
                    </a:ln>
                    <a:extLst>
                      <a:ext uri="{53640926-AAD7-44D8-BBD7-CCE9431645EC}">
                        <a14:shadowObscured xmlns:a14="http://schemas.microsoft.com/office/drawing/2010/main"/>
                      </a:ext>
                    </a:extLst>
                  </pic:spPr>
                </pic:pic>
              </a:graphicData>
            </a:graphic>
          </wp:inline>
        </w:drawing>
      </w:r>
    </w:p>
    <w:p w14:paraId="537E5D5D" w14:textId="71157E96" w:rsidR="008959E1" w:rsidRPr="004F5888" w:rsidRDefault="008959E1" w:rsidP="004F5888">
      <w:pPr>
        <w:spacing w:after="0" w:line="240" w:lineRule="auto"/>
        <w:ind w:right="-1" w:firstLine="709"/>
        <w:jc w:val="center"/>
        <w:rPr>
          <w:rFonts w:ascii="Times New Roman" w:hAnsi="Times New Roman" w:cs="Times New Roman"/>
          <w:bCs/>
          <w:i/>
          <w:sz w:val="28"/>
          <w:szCs w:val="28"/>
          <w:shd w:val="clear" w:color="auto" w:fill="FFFFFF"/>
        </w:rPr>
      </w:pPr>
      <w:r w:rsidRPr="004F5888">
        <w:rPr>
          <w:rFonts w:ascii="Times New Roman" w:eastAsia="MS Mincho" w:hAnsi="Times New Roman" w:cs="Times New Roman"/>
          <w:i/>
          <w:sz w:val="28"/>
          <w:szCs w:val="28"/>
        </w:rPr>
        <w:t xml:space="preserve">Рисунок 6- </w:t>
      </w:r>
      <w:r w:rsidRPr="004F5888">
        <w:rPr>
          <w:rFonts w:ascii="Times New Roman" w:eastAsia="Times New Roman" w:hAnsi="Times New Roman" w:cs="Times New Roman"/>
          <w:bCs/>
          <w:i/>
          <w:sz w:val="28"/>
          <w:szCs w:val="28"/>
          <w:shd w:val="clear" w:color="auto" w:fill="FFFFFF"/>
        </w:rPr>
        <w:t>Смертность от БА в возрастных группах 75-79 лет в Казахстане среди женщин</w:t>
      </w:r>
    </w:p>
    <w:p w14:paraId="2E216DCF" w14:textId="77777777" w:rsidR="008959E1" w:rsidRPr="004F5888" w:rsidRDefault="008959E1" w:rsidP="004F5888">
      <w:pPr>
        <w:spacing w:after="0" w:line="240" w:lineRule="auto"/>
        <w:ind w:right="-1" w:firstLine="709"/>
        <w:jc w:val="center"/>
        <w:rPr>
          <w:rFonts w:ascii="Times New Roman" w:eastAsia="Times New Roman" w:hAnsi="Times New Roman" w:cs="Times New Roman"/>
          <w:b/>
          <w:sz w:val="28"/>
          <w:szCs w:val="28"/>
          <w:shd w:val="clear" w:color="auto" w:fill="FFFFFF"/>
        </w:rPr>
      </w:pPr>
    </w:p>
    <w:p w14:paraId="3D9990C9" w14:textId="65F873CE" w:rsidR="00A37140" w:rsidRPr="004F5888" w:rsidRDefault="00A37140" w:rsidP="004F5888">
      <w:pPr>
        <w:spacing w:after="0" w:line="240" w:lineRule="auto"/>
        <w:ind w:right="-1" w:firstLine="709"/>
        <w:jc w:val="both"/>
        <w:rPr>
          <w:rFonts w:ascii="Times New Roman" w:eastAsia="Times New Roman" w:hAnsi="Times New Roman" w:cs="Times New Roman"/>
          <w:b/>
          <w:sz w:val="28"/>
          <w:szCs w:val="28"/>
          <w:shd w:val="clear" w:color="auto" w:fill="FFFFFF"/>
        </w:rPr>
      </w:pPr>
      <w:r w:rsidRPr="004F5888">
        <w:rPr>
          <w:rFonts w:ascii="Times New Roman" w:eastAsia="Times New Roman" w:hAnsi="Times New Roman" w:cs="Times New Roman"/>
          <w:b/>
          <w:noProof/>
          <w:sz w:val="28"/>
          <w:szCs w:val="28"/>
          <w:shd w:val="clear" w:color="auto" w:fill="FFFFFF"/>
          <w:lang w:val="en-US"/>
        </w:rPr>
        <w:lastRenderedPageBreak/>
        <w:drawing>
          <wp:inline distT="0" distB="0" distL="0" distR="0" wp14:anchorId="0BACB907" wp14:editId="78D6DA88">
            <wp:extent cx="5502895" cy="3534507"/>
            <wp:effectExtent l="0" t="0" r="3175" b="889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4"/>
                    <a:srcRect l="25144" t="19068" r="28874" b="6065"/>
                    <a:stretch/>
                  </pic:blipFill>
                  <pic:spPr>
                    <a:xfrm>
                      <a:off x="0" y="0"/>
                      <a:ext cx="5523458" cy="3547715"/>
                    </a:xfrm>
                    <a:prstGeom prst="rect">
                      <a:avLst/>
                    </a:prstGeom>
                  </pic:spPr>
                </pic:pic>
              </a:graphicData>
            </a:graphic>
          </wp:inline>
        </w:drawing>
      </w:r>
    </w:p>
    <w:p w14:paraId="4365A998" w14:textId="20996B10" w:rsidR="008959E1" w:rsidRPr="004F5888" w:rsidRDefault="008959E1" w:rsidP="004F5888">
      <w:pPr>
        <w:spacing w:after="0" w:line="240" w:lineRule="auto"/>
        <w:ind w:right="-1" w:firstLine="709"/>
        <w:jc w:val="center"/>
        <w:rPr>
          <w:rFonts w:ascii="Times New Roman" w:hAnsi="Times New Roman" w:cs="Times New Roman"/>
          <w:bCs/>
          <w:i/>
          <w:sz w:val="28"/>
          <w:szCs w:val="28"/>
          <w:shd w:val="clear" w:color="auto" w:fill="FFFFFF"/>
        </w:rPr>
      </w:pPr>
      <w:r w:rsidRPr="004F5888">
        <w:rPr>
          <w:rFonts w:ascii="Times New Roman" w:eastAsia="MS Mincho" w:hAnsi="Times New Roman" w:cs="Times New Roman"/>
          <w:i/>
          <w:sz w:val="28"/>
          <w:szCs w:val="28"/>
        </w:rPr>
        <w:t xml:space="preserve">Рисунок 7- </w:t>
      </w:r>
      <w:r w:rsidRPr="004F5888">
        <w:rPr>
          <w:rFonts w:ascii="Times New Roman" w:eastAsia="Times New Roman" w:hAnsi="Times New Roman" w:cs="Times New Roman"/>
          <w:bCs/>
          <w:i/>
          <w:sz w:val="28"/>
          <w:szCs w:val="28"/>
          <w:shd w:val="clear" w:color="auto" w:fill="FFFFFF"/>
        </w:rPr>
        <w:t>Смертность от БА в возрастных группах 75-79 лет в Казахстане среди мужчин</w:t>
      </w:r>
    </w:p>
    <w:p w14:paraId="077F8D8A" w14:textId="77777777" w:rsidR="008959E1" w:rsidRPr="004F5888" w:rsidRDefault="008959E1" w:rsidP="004F5888">
      <w:pPr>
        <w:spacing w:after="0" w:line="240" w:lineRule="auto"/>
        <w:ind w:right="-1" w:firstLine="709"/>
        <w:jc w:val="both"/>
        <w:rPr>
          <w:rFonts w:ascii="Times New Roman" w:eastAsia="Times New Roman" w:hAnsi="Times New Roman" w:cs="Times New Roman"/>
          <w:b/>
          <w:sz w:val="28"/>
          <w:szCs w:val="28"/>
          <w:shd w:val="clear" w:color="auto" w:fill="FFFFFF"/>
        </w:rPr>
      </w:pPr>
    </w:p>
    <w:p w14:paraId="00DADD33" w14:textId="77777777" w:rsidR="001E0D58" w:rsidRPr="004F5888" w:rsidRDefault="001E0D58" w:rsidP="004F5888">
      <w:pPr>
        <w:spacing w:after="0" w:line="240" w:lineRule="auto"/>
        <w:ind w:right="-1" w:firstLine="709"/>
        <w:jc w:val="both"/>
        <w:rPr>
          <w:rFonts w:ascii="Times New Roman" w:eastAsia="Times New Roman" w:hAnsi="Times New Roman" w:cs="Times New Roman"/>
          <w:b/>
          <w:sz w:val="28"/>
          <w:szCs w:val="28"/>
          <w:shd w:val="clear" w:color="auto" w:fill="FFFFFF"/>
        </w:rPr>
      </w:pPr>
    </w:p>
    <w:p w14:paraId="19DABC8A" w14:textId="77777777" w:rsidR="001E0D58" w:rsidRPr="004F5888" w:rsidRDefault="001E0D58" w:rsidP="004F5888">
      <w:pPr>
        <w:spacing w:after="0" w:line="240" w:lineRule="auto"/>
        <w:ind w:right="-1" w:firstLine="709"/>
        <w:jc w:val="both"/>
        <w:rPr>
          <w:rFonts w:ascii="Times New Roman" w:eastAsia="Times New Roman" w:hAnsi="Times New Roman" w:cs="Times New Roman"/>
          <w:b/>
          <w:sz w:val="28"/>
          <w:szCs w:val="28"/>
          <w:shd w:val="clear" w:color="auto" w:fill="FFFFFF"/>
        </w:rPr>
      </w:pPr>
    </w:p>
    <w:p w14:paraId="1E0436E5" w14:textId="67649CA8" w:rsidR="00E7415B" w:rsidRPr="004F5888" w:rsidRDefault="00E7415B" w:rsidP="004F5888">
      <w:pPr>
        <w:spacing w:after="0" w:line="240" w:lineRule="auto"/>
        <w:ind w:right="-1" w:firstLine="709"/>
        <w:jc w:val="both"/>
        <w:rPr>
          <w:rFonts w:ascii="Times New Roman" w:hAnsi="Times New Roman" w:cs="Times New Roman"/>
          <w:b/>
          <w:bCs/>
          <w:sz w:val="28"/>
          <w:szCs w:val="28"/>
        </w:rPr>
      </w:pPr>
      <w:r w:rsidRPr="004F5888">
        <w:rPr>
          <w:rFonts w:ascii="Times New Roman" w:eastAsia="Times New Roman" w:hAnsi="Times New Roman" w:cs="Times New Roman"/>
          <w:b/>
          <w:sz w:val="28"/>
          <w:szCs w:val="28"/>
          <w:shd w:val="clear" w:color="auto" w:fill="FFFFFF"/>
        </w:rPr>
        <w:t xml:space="preserve">ГЛАВА 1 </w:t>
      </w:r>
      <w:r w:rsidRPr="004F5888">
        <w:rPr>
          <w:rFonts w:ascii="Times New Roman" w:hAnsi="Times New Roman" w:cs="Times New Roman"/>
          <w:b/>
          <w:bCs/>
          <w:sz w:val="28"/>
          <w:szCs w:val="28"/>
        </w:rPr>
        <w:t>ФАКТОРЫ РАЗВИТИЯ БОЛЕЗНИ АЛЬЦГЕЙМЕРА</w:t>
      </w:r>
    </w:p>
    <w:p w14:paraId="40F16658" w14:textId="07F02706" w:rsidR="00AC352A" w:rsidRPr="004F5888" w:rsidRDefault="00AC352A" w:rsidP="004F5888">
      <w:pPr>
        <w:spacing w:after="0" w:line="240" w:lineRule="auto"/>
        <w:ind w:right="-1" w:firstLine="709"/>
        <w:jc w:val="both"/>
        <w:rPr>
          <w:rFonts w:ascii="Times New Roman" w:hAnsi="Times New Roman" w:cs="Times New Roman"/>
          <w:b/>
          <w:bCs/>
          <w:sz w:val="28"/>
          <w:szCs w:val="28"/>
        </w:rPr>
      </w:pPr>
    </w:p>
    <w:p w14:paraId="13320935" w14:textId="77777777" w:rsidR="00AC352A" w:rsidRPr="004F5888" w:rsidRDefault="00AC352A" w:rsidP="004F5888">
      <w:pPr>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Разделяют три типа факторов, которые поддаются коррективному лечению БА: корригируемые, частично корригируемые и некорригируемые. К абсолютно некорригируемым факторам относятся врожденные или приобретенные анатомо-физиологические особенности организма пациента, а также жизненные обстоятельства минувших лет, такие как:</w:t>
      </w:r>
    </w:p>
    <w:p w14:paraId="019803CF" w14:textId="77777777" w:rsidR="00AC352A" w:rsidRPr="004F5888" w:rsidRDefault="00AC352A" w:rsidP="004F5888">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пожилой возраст (по некоторым данным, среди лиц, перешагнувших 90-летний рубеж, больные с альцгеймеровской деменцией составляют 42%);</w:t>
      </w:r>
    </w:p>
    <w:p w14:paraId="3FD6CF9A" w14:textId="77777777" w:rsidR="00AC352A" w:rsidRPr="004F5888" w:rsidRDefault="00AC352A" w:rsidP="004F5888">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женский пол;</w:t>
      </w:r>
    </w:p>
    <w:p w14:paraId="2EE711A7" w14:textId="77777777" w:rsidR="00AC352A" w:rsidRPr="004F5888" w:rsidRDefault="00AC352A" w:rsidP="004F5888">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серьезная черепно-мозговая травма (в том числе и родовая);</w:t>
      </w:r>
    </w:p>
    <w:p w14:paraId="719CF647" w14:textId="77777777" w:rsidR="00AC352A" w:rsidRPr="004F5888" w:rsidRDefault="00AC352A" w:rsidP="004F5888">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тяжелые психологические потрясения;</w:t>
      </w:r>
    </w:p>
    <w:p w14:paraId="2DA0EDFE" w14:textId="77777777" w:rsidR="00AC352A" w:rsidRPr="004F5888" w:rsidRDefault="00AC352A" w:rsidP="004F5888">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перенесенные эпизоды депрессии;</w:t>
      </w:r>
    </w:p>
    <w:p w14:paraId="11D6E7D7" w14:textId="77777777" w:rsidR="00AC352A" w:rsidRPr="004F5888" w:rsidRDefault="00AC352A" w:rsidP="004F5888">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отсутствие высшего образования;</w:t>
      </w:r>
    </w:p>
    <w:p w14:paraId="7C88F047" w14:textId="77777777" w:rsidR="00AC352A" w:rsidRPr="004F5888" w:rsidRDefault="00AC352A" w:rsidP="004F5888">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низкая интеллектуальная активность в течение жизни.</w:t>
      </w:r>
    </w:p>
    <w:p w14:paraId="2C76D772" w14:textId="77777777" w:rsidR="00AC352A" w:rsidRPr="004F5888" w:rsidRDefault="00AC352A" w:rsidP="004F5888">
      <w:pPr>
        <w:spacing w:after="0" w:line="240" w:lineRule="auto"/>
        <w:ind w:firstLine="708"/>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К частично корригируемым факторам риска развития болезни Альцгеймера относят патологические состояния, способствующие возникновению острой или хронической кислородной недостаточности в клетках коры головного мозга:</w:t>
      </w:r>
    </w:p>
    <w:p w14:paraId="6633E96F" w14:textId="77777777" w:rsidR="00AC352A" w:rsidRPr="004F5888" w:rsidRDefault="00AC352A" w:rsidP="004F5888">
      <w:pPr>
        <w:numPr>
          <w:ilvl w:val="0"/>
          <w:numId w:val="3"/>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повышенное артериальное давление;</w:t>
      </w:r>
    </w:p>
    <w:p w14:paraId="708F29ED" w14:textId="77777777" w:rsidR="00AC352A" w:rsidRPr="004F5888" w:rsidRDefault="00AC352A" w:rsidP="004F5888">
      <w:pPr>
        <w:numPr>
          <w:ilvl w:val="0"/>
          <w:numId w:val="3"/>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атеросклероз крупных сосудов головы и шеи;</w:t>
      </w:r>
    </w:p>
    <w:p w14:paraId="3F486ACD" w14:textId="77777777" w:rsidR="00AC352A" w:rsidRPr="004F5888" w:rsidRDefault="00AC352A" w:rsidP="004F5888">
      <w:pPr>
        <w:numPr>
          <w:ilvl w:val="0"/>
          <w:numId w:val="3"/>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атеросклероз или другая патология сосудов головного мозга;</w:t>
      </w:r>
    </w:p>
    <w:p w14:paraId="5835FE22" w14:textId="77777777" w:rsidR="00AC352A" w:rsidRPr="004F5888" w:rsidRDefault="00AC352A" w:rsidP="004F5888">
      <w:pPr>
        <w:numPr>
          <w:ilvl w:val="0"/>
          <w:numId w:val="3"/>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повышенный уровень липидов (жиров) в крови;</w:t>
      </w:r>
    </w:p>
    <w:p w14:paraId="2A633904" w14:textId="77777777" w:rsidR="00AC352A" w:rsidRPr="004F5888" w:rsidRDefault="00AC352A" w:rsidP="004F5888">
      <w:pPr>
        <w:numPr>
          <w:ilvl w:val="0"/>
          <w:numId w:val="3"/>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lastRenderedPageBreak/>
        <w:t>повышенная концентрация аминокислоты гомоцистеин в плазме крови;</w:t>
      </w:r>
    </w:p>
    <w:p w14:paraId="3B8F200D" w14:textId="77777777" w:rsidR="00AC352A" w:rsidRPr="004F5888" w:rsidRDefault="00AC352A" w:rsidP="004F5888">
      <w:pPr>
        <w:numPr>
          <w:ilvl w:val="0"/>
          <w:numId w:val="3"/>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сахарный диабет и другие патологические состояния, протекающие с повышением уровня глюкозы в крови;</w:t>
      </w:r>
    </w:p>
    <w:p w14:paraId="7CCD6524" w14:textId="77777777" w:rsidR="00AC352A" w:rsidRPr="004F5888" w:rsidRDefault="00AC352A" w:rsidP="004F5888">
      <w:pPr>
        <w:numPr>
          <w:ilvl w:val="0"/>
          <w:numId w:val="3"/>
        </w:numPr>
        <w:tabs>
          <w:tab w:val="num" w:pos="0"/>
        </w:tabs>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общая кислородная недостаточность, связанная с серьезными заболеваниями дыхательной и сердечно-сосудистой систем или системы крови.</w:t>
      </w:r>
    </w:p>
    <w:p w14:paraId="6EAE0EC9" w14:textId="77777777" w:rsidR="00AC352A" w:rsidRPr="004F5888" w:rsidRDefault="00AC352A" w:rsidP="004F5888">
      <w:pPr>
        <w:spacing w:after="0" w:line="240" w:lineRule="auto"/>
        <w:jc w:val="both"/>
        <w:rPr>
          <w:rFonts w:ascii="Times New Roman" w:hAnsi="Times New Roman" w:cs="Times New Roman"/>
          <w:sz w:val="28"/>
          <w:szCs w:val="28"/>
        </w:rPr>
      </w:pPr>
      <w:r w:rsidRPr="004F5888">
        <w:rPr>
          <w:rFonts w:ascii="Times New Roman" w:eastAsia="Times New Roman" w:hAnsi="Times New Roman" w:cs="Times New Roman"/>
          <w:sz w:val="28"/>
          <w:szCs w:val="28"/>
          <w:lang w:eastAsia="ru-RU"/>
        </w:rPr>
        <w:t>Лечение данных заболеваний (к примеру, контроль артериального давления при гипертонической болезни, хирургическое устранение атеросклеротического поражения крупных сосудов шеи или контроль уровня сахара в крови при сахарном диабете) является профилактикой болезни Альцгеймера.</w:t>
      </w:r>
    </w:p>
    <w:p w14:paraId="267A26D6" w14:textId="77777777" w:rsidR="00AC352A" w:rsidRPr="004F5888" w:rsidRDefault="00AC352A" w:rsidP="004F5888">
      <w:pPr>
        <w:spacing w:after="0" w:line="240" w:lineRule="auto"/>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К корригируемым факторам относятся риски, которые пациент может полностью устранить, пересмотрев свои взгляды на жизнь и здоровье:</w:t>
      </w:r>
    </w:p>
    <w:p w14:paraId="3730B649" w14:textId="77777777" w:rsidR="00AC352A" w:rsidRPr="004F5888" w:rsidRDefault="00AC352A" w:rsidP="004F5888">
      <w:pPr>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избыточная масса тела;</w:t>
      </w:r>
    </w:p>
    <w:p w14:paraId="62CDE07D" w14:textId="77777777" w:rsidR="00AC352A" w:rsidRPr="004F5888" w:rsidRDefault="00AC352A" w:rsidP="004F5888">
      <w:pPr>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малоподвижный образ жизни;</w:t>
      </w:r>
    </w:p>
    <w:p w14:paraId="0F2A10AD" w14:textId="77777777" w:rsidR="00AC352A" w:rsidRPr="004F5888" w:rsidRDefault="00AC352A" w:rsidP="004F5888">
      <w:pPr>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низкая интеллектуальная активность в повседневной жизнедеятельности;</w:t>
      </w:r>
    </w:p>
    <w:p w14:paraId="2315B79F" w14:textId="72068BD0" w:rsidR="00AC352A" w:rsidRPr="004F5888" w:rsidRDefault="00AC352A" w:rsidP="004F5888">
      <w:pPr>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пристрастие к кофе</w:t>
      </w:r>
      <w:r w:rsidRPr="00CA3ED5">
        <w:rPr>
          <w:rFonts w:ascii="Times New Roman" w:eastAsia="Times New Roman" w:hAnsi="Times New Roman" w:cs="Times New Roman"/>
          <w:sz w:val="28"/>
          <w:szCs w:val="28"/>
          <w:highlight w:val="green"/>
          <w:lang w:eastAsia="ru-RU"/>
        </w:rPr>
        <w:t>.</w:t>
      </w:r>
      <w:r w:rsidRPr="00CA3ED5">
        <w:rPr>
          <w:rFonts w:ascii="Times New Roman" w:eastAsia="Times New Roman" w:hAnsi="Times New Roman" w:cs="Times New Roman"/>
          <w:sz w:val="28"/>
          <w:szCs w:val="28"/>
          <w:highlight w:val="green"/>
          <w:vertAlign w:val="superscript"/>
          <w:lang w:eastAsia="ru-RU"/>
        </w:rPr>
        <w:t>26</w:t>
      </w:r>
    </w:p>
    <w:p w14:paraId="002EAD64" w14:textId="77777777" w:rsidR="00AC352A" w:rsidRPr="004F5888" w:rsidRDefault="00AC352A" w:rsidP="004F5888">
      <w:pPr>
        <w:spacing w:after="0" w:line="240" w:lineRule="auto"/>
        <w:ind w:left="709"/>
        <w:jc w:val="both"/>
        <w:rPr>
          <w:rFonts w:ascii="Times New Roman" w:eastAsia="Times New Roman" w:hAnsi="Times New Roman" w:cs="Times New Roman"/>
          <w:sz w:val="28"/>
          <w:szCs w:val="28"/>
          <w:lang w:eastAsia="ru-RU"/>
        </w:rPr>
      </w:pPr>
    </w:p>
    <w:p w14:paraId="22BAB793" w14:textId="77777777" w:rsidR="00E7415B" w:rsidRPr="004F5888" w:rsidRDefault="00E7415B" w:rsidP="004F5888">
      <w:pPr>
        <w:spacing w:after="0" w:line="240" w:lineRule="auto"/>
        <w:ind w:right="-1"/>
        <w:jc w:val="both"/>
        <w:rPr>
          <w:rFonts w:ascii="Times New Roman" w:eastAsia="Times New Roman" w:hAnsi="Times New Roman" w:cs="Times New Roman"/>
          <w:sz w:val="28"/>
          <w:szCs w:val="28"/>
          <w:shd w:val="clear" w:color="auto" w:fill="FFFFFF"/>
        </w:rPr>
      </w:pPr>
    </w:p>
    <w:p w14:paraId="702147B5" w14:textId="23B94B85" w:rsidR="00E7415B" w:rsidRPr="004F5888" w:rsidRDefault="00A549C0" w:rsidP="004F5888">
      <w:pPr>
        <w:spacing w:after="0" w:line="240" w:lineRule="auto"/>
        <w:ind w:firstLine="708"/>
        <w:jc w:val="both"/>
        <w:rPr>
          <w:rFonts w:ascii="Times New Roman" w:hAnsi="Times New Roman" w:cs="Times New Roman"/>
          <w:sz w:val="28"/>
          <w:szCs w:val="28"/>
          <w:shd w:val="clear" w:color="auto" w:fill="FFFFFF"/>
        </w:rPr>
      </w:pPr>
      <w:r w:rsidRPr="004F5888">
        <w:rPr>
          <w:rStyle w:val="ac"/>
          <w:rFonts w:ascii="Times New Roman" w:hAnsi="Times New Roman" w:cs="Times New Roman"/>
          <w:sz w:val="28"/>
          <w:szCs w:val="28"/>
        </w:rPr>
        <w:t>1.1.</w:t>
      </w:r>
      <w:r w:rsidR="00E7415B" w:rsidRPr="004F5888">
        <w:rPr>
          <w:rStyle w:val="ac"/>
          <w:rFonts w:ascii="Times New Roman" w:hAnsi="Times New Roman" w:cs="Times New Roman"/>
          <w:sz w:val="28"/>
          <w:szCs w:val="28"/>
        </w:rPr>
        <w:t>Генетическая предрасположенность</w:t>
      </w:r>
      <w:r w:rsidR="00E7415B" w:rsidRPr="004F5888">
        <w:rPr>
          <w:rFonts w:ascii="Times New Roman" w:hAnsi="Times New Roman" w:cs="Times New Roman"/>
          <w:sz w:val="28"/>
          <w:szCs w:val="28"/>
        </w:rPr>
        <w:t xml:space="preserve">. </w:t>
      </w:r>
    </w:p>
    <w:p w14:paraId="47C8EBA1" w14:textId="0C7A3AD6" w:rsidR="00E7415B" w:rsidRPr="004F5888" w:rsidRDefault="00E7415B" w:rsidP="004F5888">
      <w:pPr>
        <w:spacing w:after="0" w:line="240" w:lineRule="auto"/>
        <w:ind w:firstLine="709"/>
        <w:jc w:val="both"/>
        <w:rPr>
          <w:rFonts w:ascii="Times New Roman" w:hAnsi="Times New Roman" w:cs="Times New Roman"/>
          <w:sz w:val="28"/>
          <w:szCs w:val="28"/>
          <w:vertAlign w:val="superscript"/>
        </w:rPr>
      </w:pPr>
      <w:r w:rsidRPr="004F5888">
        <w:rPr>
          <w:rFonts w:ascii="Times New Roman" w:hAnsi="Times New Roman" w:cs="Times New Roman"/>
          <w:sz w:val="28"/>
          <w:szCs w:val="28"/>
        </w:rPr>
        <w:t>Ученые уже признали болезнь Альцгеймера многофакторным заболеванием, ведущую роль в развитии которой играют генетические дефекты. Особенно важна роль патологической наследственности при так называемых семейных формах заболевания, которые встречаются относительно редко (до 10% от всех случаев болезни Альцгеймера) и характеризуются более ранним началом (до 65 лет).</w:t>
      </w:r>
      <w:r w:rsidR="00E42077" w:rsidRPr="004F5888">
        <w:rPr>
          <w:rFonts w:ascii="Times New Roman" w:hAnsi="Times New Roman" w:cs="Times New Roman"/>
          <w:sz w:val="28"/>
          <w:szCs w:val="28"/>
          <w:vertAlign w:val="superscript"/>
        </w:rPr>
        <w:t>1</w:t>
      </w:r>
    </w:p>
    <w:p w14:paraId="33C1AE00" w14:textId="201BDC61" w:rsidR="00A00CBC" w:rsidRPr="004F5888" w:rsidRDefault="00A00CBC" w:rsidP="004F5888">
      <w:pPr>
        <w:spacing w:after="0" w:line="240" w:lineRule="auto"/>
        <w:jc w:val="both"/>
        <w:rPr>
          <w:rStyle w:val="a9"/>
          <w:rFonts w:ascii="Times New Roman" w:hAnsi="Times New Roman" w:cs="Times New Roman"/>
          <w:color w:val="000000" w:themeColor="text1"/>
          <w:sz w:val="28"/>
          <w:szCs w:val="28"/>
          <w:u w:val="none"/>
          <w:vertAlign w:val="superscript"/>
        </w:rPr>
      </w:pPr>
      <w:r w:rsidRPr="004F5888">
        <w:rPr>
          <w:rFonts w:ascii="Times New Roman" w:hAnsi="Times New Roman" w:cs="Times New Roman"/>
          <w:color w:val="000000" w:themeColor="text1"/>
          <w:sz w:val="28"/>
          <w:szCs w:val="28"/>
        </w:rPr>
        <w:t xml:space="preserve">В настоящее время выделяют  две формы болезни Альцгеймера, которые различаются по времени проявления и клинической картине: семейная (с ранним началом) и спорадическая (с поздним началом). Семейная форма по клинической картине характеризуется медленным развитием в начальном периоде и быстрым прогрессированием на этапе клинически выраженной деменции, тогда как спорадическая развивается медленно на всех этапах болезни, за исключением конечного периода. Пациенты с семейной формой БА дольше сохраняют правильную реакцию на свою болезнь, а у больных с поздней формой наблюдается потеря критики к болезни и перемены в личностных особенностях уже в начальном периоде болезни. Все эти различия между формами БА могут быть обусловлены разной наследственных и средовых факторов в их формировании. Семейная форма БА является наследственной болезнью, обусловленной генной мутацией и наследуется по аутосомно-доминантному типу. В настоящее время изучены три гена, мутации в которых приводят к возникновению семейной формы БА: ген белка амилоидного предшественника (АРР), расположенный в длинном плече 21-й хромосомы, ген пресенилина-1 (PSN-1), локализованный на длинном плече 14-й хромосомы и ген пресенилина-2 (PSN-2), находящийся в длинном плече хромосомы 1. Мутация гена APP отмечается у 3-5% всех пациентов с семейной формой болезни. С мутацией именно этого гена связано, в частности, проявление симптомов БА у больных с синдромом Дауна, для которых (в возрасте 20-30 лет) характерно параллельно с первоначальной умственной отсталостью развитие деменции, патологические </w:t>
      </w:r>
      <w:r w:rsidRPr="004F5888">
        <w:rPr>
          <w:rFonts w:ascii="Times New Roman" w:hAnsi="Times New Roman" w:cs="Times New Roman"/>
          <w:color w:val="000000" w:themeColor="text1"/>
          <w:sz w:val="28"/>
          <w:szCs w:val="28"/>
        </w:rPr>
        <w:lastRenderedPageBreak/>
        <w:t>процессы которой соответствуют диагностическим признакам БА . Приблизительно 7% случаев заболеваемости обусловлены мутациями в гене PSN-1, который обладает либо полной, либо высокой пенетрантностью и проявляется в возрасте 30-50 лет. Мутации в гене PSN-2 встречаются редко и характеризуются низкой пенетрантностью. Также существует предположение, что спонтанные изменения в гене PSN-1 и PSN-2 могут играть определенную роль и при спорадических формах БА, однако их вклад в развитии этой формы болезни остается пока до конца не установленным. Спорадическая форма БА имеет наследственную предрасположенность, но в данном случае проявление клинических признаков у пациентов находится в зависимости от влияния одновременно нескольких генов, а также от действия неблагоприятных средовых факторов. Факторы риска спорадической формы БА можно условно разделить на экзогенные (пожилой возраст; атеросклероз магистральных артерий головы; гиперлипидемия; сахарный диабет; хроническая гипоксия; женский пол; синдром Дауна и др.) и эндогенные (черепно-мозговая травма в анамнезе; избыточная масса тела; низкая интеллектуальная активность в течение жизни; гиподинамия; эпизоды депрессии в молодом и среднем возрасте; и др.). Основным генетическим фактором риска развития поздней формы БА является наличие в генотипе аллеля аполипопротеина E4, продукт которого – белок, связанный с повышенным уровнем холестерина в крови. Присутствие гена ApoE4 увеличивает риск развития БА примерно в 2 раза по сравнению со среднестатистическим риском. Присутствие другого аллеля (ApoE2), напротив, уменьшает риск возникновения БА. В настоящее время активно изучается этиологическая роль других генетических факторов, так как БА может развиваться в отсутствие приведенных выше патологических генов. Так же интенсивно изучаются и молекулярно-клеточные механизмы развития БА. Одним из таких известных механизмов, которые приводят к образованию патологических образований в нейронах, является гиперфосфорилирование тау-белка. Тау-протеин является фосфопротеином, который в нормальных условиях взаимодействует с тубулином и обеспечивает связывание микротрубочек, а также является наиболее эффективным и активным эвакуатором фосфатов из зоны синтеза белка. Экспериментально показано, что на определенном этапе фосфорилирования ТБ, в результате гиперфосфорилирования растворимость белковой молекулы уменьшается, возникают зоны «застоя», нити белка связываются между собой дифосфатными мостиками, «слипаются» в нейрофибриллярные клубки и разрушают транспортную систему нейрона, что впоследствии приводит к гибели самих клеток. Для совершенствования методов генетического анализа и прогнозирования БА, её профилактики и терапии, является важным установление формы болезни, и, следовательно, роли генетических факторов в её формировании. Остаются актуальными поиск и исследование новых генов-кандидатов, а также углубление знаний о механизмах действия и наследовании известных генов, обуславливающих семейную форму болезни. А с другой стороны, необходим дальнейший анализ соотносительной роли генов, определяющих предрасположенность к спорадической форме БА, и неблагоприятных факторов, провоцирующих проявление заболевания.</w:t>
      </w:r>
      <w:r w:rsidR="00EA503E" w:rsidRPr="004F5888">
        <w:rPr>
          <w:rFonts w:ascii="Times New Roman" w:hAnsi="Times New Roman" w:cs="Times New Roman"/>
          <w:color w:val="000000" w:themeColor="text1"/>
          <w:sz w:val="28"/>
          <w:szCs w:val="28"/>
          <w:vertAlign w:val="superscript"/>
        </w:rPr>
        <w:t>2</w:t>
      </w:r>
      <w:r w:rsidR="00CA3ED5">
        <w:rPr>
          <w:rFonts w:ascii="Times New Roman" w:hAnsi="Times New Roman" w:cs="Times New Roman"/>
          <w:color w:val="000000" w:themeColor="text1"/>
          <w:sz w:val="28"/>
          <w:szCs w:val="28"/>
          <w:vertAlign w:val="superscript"/>
        </w:rPr>
        <w:t xml:space="preserve"> </w:t>
      </w:r>
      <w:r w:rsidR="00CA3ED5" w:rsidRPr="00CA3ED5">
        <w:rPr>
          <w:rFonts w:ascii="Times New Roman" w:hAnsi="Times New Roman" w:cs="Times New Roman"/>
          <w:color w:val="000000" w:themeColor="text1"/>
          <w:sz w:val="28"/>
          <w:szCs w:val="28"/>
          <w:highlight w:val="green"/>
          <w:vertAlign w:val="superscript"/>
        </w:rPr>
        <w:t xml:space="preserve">как минимум 3 статьи должна </w:t>
      </w:r>
      <w:r w:rsidR="00CA3ED5" w:rsidRPr="00CA3ED5">
        <w:rPr>
          <w:rStyle w:val="a9"/>
          <w:rFonts w:ascii="Times New Roman" w:hAnsi="Times New Roman" w:cs="Times New Roman"/>
          <w:color w:val="000000" w:themeColor="text1"/>
          <w:sz w:val="28"/>
          <w:szCs w:val="28"/>
          <w:highlight w:val="green"/>
          <w:u w:val="none"/>
          <w:vertAlign w:val="superscript"/>
        </w:rPr>
        <w:t>цитировать про ген.фактор</w:t>
      </w:r>
    </w:p>
    <w:bookmarkEnd w:id="1"/>
    <w:p w14:paraId="7E50A140" w14:textId="3DBB4A3D"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lastRenderedPageBreak/>
        <w:t xml:space="preserve">Считается, что сложные хронические заболевания, такие как БА, являются результатом взаимодействия многих экологических, генетических и других факторов. Переход от здорового старения к БА недостаточно четко определен, по крайней мере, с учетом нашего современного понимания механизмов развития БА. Можно предположить, что комбинация генетических факторов и факторов окружающей среды играет ключевую роль в этом процессе. В частности, все больше фактов свидетельствуют о том, что такой фактор, как пол человека, может модулировать фенотип БА и ответ на проводимую терапию. Социально-экономическая концепция, связанная с положением женщин и мужчин в обществе (образование, заработная плата, пенсионные выплаты), также может влиять на возникновение и </w:t>
      </w:r>
      <w:r w:rsidR="00EA503E" w:rsidRPr="004F5888">
        <w:rPr>
          <w:rFonts w:ascii="Times New Roman" w:hAnsi="Times New Roman" w:cs="Times New Roman"/>
          <w:sz w:val="28"/>
          <w:szCs w:val="28"/>
        </w:rPr>
        <w:t>прогрессирование заболевания</w:t>
      </w:r>
      <w:r w:rsidRPr="004F5888">
        <w:rPr>
          <w:rFonts w:ascii="Times New Roman" w:hAnsi="Times New Roman" w:cs="Times New Roman"/>
          <w:sz w:val="28"/>
          <w:szCs w:val="28"/>
        </w:rPr>
        <w:t xml:space="preserve">. </w:t>
      </w:r>
    </w:p>
    <w:p w14:paraId="76470C36" w14:textId="670E8381"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Появляется все больше доказательств того, что цереброваскулярные заболевания (ЦВЗ) играют роль в патогенезе БА. Cчитается, что цереброваскулярные нарушения оказывают влияние на патологию бета-амилоида, тем самым потенцируя </w:t>
      </w:r>
      <w:r w:rsidR="00EA503E" w:rsidRPr="004F5888">
        <w:rPr>
          <w:rFonts w:ascii="Times New Roman" w:hAnsi="Times New Roman" w:cs="Times New Roman"/>
          <w:sz w:val="28"/>
          <w:szCs w:val="28"/>
        </w:rPr>
        <w:t>развитие БА</w:t>
      </w:r>
      <w:r w:rsidRPr="004F5888">
        <w:rPr>
          <w:rFonts w:ascii="Times New Roman" w:hAnsi="Times New Roman" w:cs="Times New Roman"/>
          <w:sz w:val="28"/>
          <w:szCs w:val="28"/>
        </w:rPr>
        <w:t>. Клинические проявления БА, вероятно, связаны с комбинацией ЦВЗ и процессов нейродегенерации, которая варьирует у отдельных лиц. Так, наличие артериальной гипертензии в анамнезе связано с уменьшением объема головного мозга, с более высоким риском разви</w:t>
      </w:r>
      <w:r w:rsidR="00EA503E" w:rsidRPr="004F5888">
        <w:rPr>
          <w:rFonts w:ascii="Times New Roman" w:hAnsi="Times New Roman" w:cs="Times New Roman"/>
          <w:sz w:val="28"/>
          <w:szCs w:val="28"/>
        </w:rPr>
        <w:t>тия деменции и БА в будущем</w:t>
      </w:r>
      <w:r w:rsidRPr="004F5888">
        <w:rPr>
          <w:rFonts w:ascii="Times New Roman" w:hAnsi="Times New Roman" w:cs="Times New Roman"/>
          <w:sz w:val="28"/>
          <w:szCs w:val="28"/>
        </w:rPr>
        <w:t>. Во многих крупных, длительных исследованиях высшее образование ассоциировалось со снижением риска развития БА, и два крупных метаанализа показали, что частота развития БА обратно пропорциона</w:t>
      </w:r>
      <w:r w:rsidR="00EA503E" w:rsidRPr="004F5888">
        <w:rPr>
          <w:rFonts w:ascii="Times New Roman" w:hAnsi="Times New Roman" w:cs="Times New Roman"/>
          <w:sz w:val="28"/>
          <w:szCs w:val="28"/>
        </w:rPr>
        <w:t>льна уровню образования</w:t>
      </w:r>
      <w:r w:rsidRPr="004F5888">
        <w:rPr>
          <w:rFonts w:ascii="Times New Roman" w:hAnsi="Times New Roman" w:cs="Times New Roman"/>
          <w:sz w:val="28"/>
          <w:szCs w:val="28"/>
        </w:rPr>
        <w:t>. Уровень интеллекта может влиять на риск развития БА. В популяционном исследовании участники оценивали успеваемость своих детей в школе. Показатели «ниже среднего» коррелировали с четырехкратным увел</w:t>
      </w:r>
      <w:r w:rsidR="00EA503E" w:rsidRPr="004F5888">
        <w:rPr>
          <w:rFonts w:ascii="Times New Roman" w:hAnsi="Times New Roman" w:cs="Times New Roman"/>
          <w:sz w:val="28"/>
          <w:szCs w:val="28"/>
        </w:rPr>
        <w:t>ичением частоты развития БА</w:t>
      </w:r>
      <w:r w:rsidRPr="004F5888">
        <w:rPr>
          <w:rFonts w:ascii="Times New Roman" w:hAnsi="Times New Roman" w:cs="Times New Roman"/>
          <w:sz w:val="28"/>
          <w:szCs w:val="28"/>
        </w:rPr>
        <w:t xml:space="preserve">. </w:t>
      </w:r>
    </w:p>
    <w:p w14:paraId="1EAC5D0B" w14:textId="77650E5D"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Аналогично, два долгосрочных исследования показали, что при анализе литературных сочинений у подростков более выраженный дефект раскрытия темы сочинения был связан с большей выраженностью патологических сенильных бляшек и более высокой частотой установления клинического диагноза БА в будущем. Не было выявлено связи между грамотностью</w:t>
      </w:r>
      <w:r w:rsidR="0029341F" w:rsidRPr="004F5888">
        <w:rPr>
          <w:rFonts w:ascii="Times New Roman" w:hAnsi="Times New Roman" w:cs="Times New Roman"/>
          <w:sz w:val="28"/>
          <w:szCs w:val="28"/>
        </w:rPr>
        <w:t xml:space="preserve"> при оценке письма и БА</w:t>
      </w:r>
      <w:r w:rsidRPr="004F5888">
        <w:rPr>
          <w:rFonts w:ascii="Times New Roman" w:hAnsi="Times New Roman" w:cs="Times New Roman"/>
          <w:sz w:val="28"/>
          <w:szCs w:val="28"/>
        </w:rPr>
        <w:t xml:space="preserve">. Современные методы молекулярной генетики, эпигеномики (изучение закономерностей изменения экспрессии генов или фенотипа клетки), молекулярной биологии предоставляют широкие возможности для исследования патогенеза и динамики процесса нейродегенерации. Выявлена тесная связь между генетическими мутациями и БА. Мутации пресенилина-1, пресенилина-2 и белка – предшественника бета-амилоида (БПБА) приводят к агрегации БПБА, вызывая более типичную амнестическую форму БА. </w:t>
      </w:r>
    </w:p>
    <w:p w14:paraId="7BC4BAF3" w14:textId="47CEAE28" w:rsidR="00E7415B" w:rsidRPr="004F5888" w:rsidRDefault="00E7415B" w:rsidP="004F5888">
      <w:pPr>
        <w:spacing w:after="0" w:line="240" w:lineRule="auto"/>
        <w:ind w:firstLine="709"/>
        <w:jc w:val="both"/>
        <w:rPr>
          <w:rFonts w:ascii="Times New Roman" w:hAnsi="Times New Roman" w:cs="Times New Roman"/>
          <w:sz w:val="28"/>
          <w:szCs w:val="28"/>
          <w:vertAlign w:val="superscript"/>
        </w:rPr>
      </w:pPr>
      <w:r w:rsidRPr="004F5888">
        <w:rPr>
          <w:rFonts w:ascii="Times New Roman" w:hAnsi="Times New Roman" w:cs="Times New Roman"/>
          <w:sz w:val="28"/>
          <w:szCs w:val="28"/>
        </w:rPr>
        <w:t>Генетические факторы, которые могут вносить свой вклад в качестве модификаторов заболевания, включают в себя аллель аполипопротеина E4 (APOE4), который определяет повышенный риск заболевания и более быстрое снижение когнитивных функций в</w:t>
      </w:r>
      <w:r w:rsidR="0029341F" w:rsidRPr="004F5888">
        <w:rPr>
          <w:rFonts w:ascii="Times New Roman" w:hAnsi="Times New Roman" w:cs="Times New Roman"/>
          <w:sz w:val="28"/>
          <w:szCs w:val="28"/>
        </w:rPr>
        <w:t xml:space="preserve"> условиях раннего дебюта БА</w:t>
      </w:r>
      <w:r w:rsidRPr="004F5888">
        <w:rPr>
          <w:rFonts w:ascii="Times New Roman" w:hAnsi="Times New Roman" w:cs="Times New Roman"/>
          <w:sz w:val="28"/>
          <w:szCs w:val="28"/>
        </w:rPr>
        <w:t>. Выявлено, что наличие аллелей Е4 ускоряет отложение бетаамилоида; наличие одного аллеля увеличивает риск развития БА в 3 раза, а наличие двух аллелей – в 12 раз типичной амнестической формы БА присутствие аллеля Е4 сни</w:t>
      </w:r>
      <w:r w:rsidR="0029341F" w:rsidRPr="004F5888">
        <w:rPr>
          <w:rFonts w:ascii="Times New Roman" w:hAnsi="Times New Roman" w:cs="Times New Roman"/>
          <w:sz w:val="28"/>
          <w:szCs w:val="28"/>
        </w:rPr>
        <w:t xml:space="preserve">жает возраст дебюта болезни </w:t>
      </w:r>
      <w:r w:rsidRPr="004F5888">
        <w:rPr>
          <w:rFonts w:ascii="Times New Roman" w:hAnsi="Times New Roman" w:cs="Times New Roman"/>
          <w:sz w:val="28"/>
          <w:szCs w:val="28"/>
        </w:rPr>
        <w:t xml:space="preserve">, тогда как аллель Е3, как правило, обнаруживается при различных фенотипах БА, а аллель Е2 снижает </w:t>
      </w:r>
      <w:r w:rsidRPr="004F5888">
        <w:rPr>
          <w:rFonts w:ascii="Times New Roman" w:hAnsi="Times New Roman" w:cs="Times New Roman"/>
          <w:sz w:val="28"/>
          <w:szCs w:val="28"/>
        </w:rPr>
        <w:lastRenderedPageBreak/>
        <w:t>риск или замедляет развитие БА. У носителей APOE4 отмечается меньший объем белого и серого вещества височной, теменной долей и поясной извилины в течение первых 3 лет жизни по сравнению с пациен</w:t>
      </w:r>
      <w:r w:rsidR="0029341F" w:rsidRPr="004F5888">
        <w:rPr>
          <w:rFonts w:ascii="Times New Roman" w:hAnsi="Times New Roman" w:cs="Times New Roman"/>
          <w:sz w:val="28"/>
          <w:szCs w:val="28"/>
        </w:rPr>
        <w:t>тами без носительства АРОЕ4</w:t>
      </w:r>
      <w:r w:rsidRPr="004F5888">
        <w:rPr>
          <w:rFonts w:ascii="Times New Roman" w:hAnsi="Times New Roman" w:cs="Times New Roman"/>
          <w:sz w:val="28"/>
          <w:szCs w:val="28"/>
        </w:rPr>
        <w:t>. Аналогичным образом, левая энторинальная кора значительно тоньше, а объем гиппокампов меньше у здоровых детей и подростков – носителей APOE4, по сравнению с не носителями, причем выраженные раз</w:t>
      </w:r>
      <w:r w:rsidR="0029341F" w:rsidRPr="004F5888">
        <w:rPr>
          <w:rFonts w:ascii="Times New Roman" w:hAnsi="Times New Roman" w:cs="Times New Roman"/>
          <w:sz w:val="28"/>
          <w:szCs w:val="28"/>
        </w:rPr>
        <w:t>личия сохраняются до 65 лет</w:t>
      </w:r>
      <w:r w:rsidRPr="004F5888">
        <w:rPr>
          <w:rFonts w:ascii="Times New Roman" w:hAnsi="Times New Roman" w:cs="Times New Roman"/>
          <w:sz w:val="28"/>
          <w:szCs w:val="28"/>
        </w:rPr>
        <w:t>. У молодых здоровых взрослых APOE4 также ассоциируется с аномальной микроструктурой белого вещества головного мозга и со сниженной митохондриальной активностью в области задней поясной извилины, без различи</w:t>
      </w:r>
      <w:r w:rsidR="0029341F" w:rsidRPr="004F5888">
        <w:rPr>
          <w:rFonts w:ascii="Times New Roman" w:hAnsi="Times New Roman" w:cs="Times New Roman"/>
          <w:sz w:val="28"/>
          <w:szCs w:val="28"/>
        </w:rPr>
        <w:t>й в содержании бетаамилоида</w:t>
      </w:r>
      <w:r w:rsidRPr="004F5888">
        <w:rPr>
          <w:rFonts w:ascii="Times New Roman" w:hAnsi="Times New Roman" w:cs="Times New Roman"/>
          <w:sz w:val="28"/>
          <w:szCs w:val="28"/>
        </w:rPr>
        <w:t>. Примечательно, что у APOE4-положительных детей с семейным анамнезом БА отмечаются нарушения при выполнении тестов на чтение и речь, это позволяет предположить, что ранние структурные изменения APOE4 могут вызывать функциональные нарушения задолго до</w:t>
      </w:r>
      <w:r w:rsidR="00EA503E" w:rsidRPr="004F5888">
        <w:rPr>
          <w:rFonts w:ascii="Times New Roman" w:hAnsi="Times New Roman" w:cs="Times New Roman"/>
          <w:sz w:val="28"/>
          <w:szCs w:val="28"/>
        </w:rPr>
        <w:t>.</w:t>
      </w:r>
      <w:r w:rsidR="00EA503E" w:rsidRPr="004F5888">
        <w:rPr>
          <w:rFonts w:ascii="Times New Roman" w:hAnsi="Times New Roman" w:cs="Times New Roman"/>
          <w:sz w:val="28"/>
          <w:szCs w:val="28"/>
          <w:vertAlign w:val="superscript"/>
        </w:rPr>
        <w:t>3</w:t>
      </w:r>
    </w:p>
    <w:p w14:paraId="4544EB2C" w14:textId="3CE828E1" w:rsidR="00E7415B" w:rsidRPr="004F5888" w:rsidRDefault="00A549C0" w:rsidP="004F5888">
      <w:pPr>
        <w:spacing w:after="0" w:line="240" w:lineRule="auto"/>
        <w:ind w:firstLine="708"/>
        <w:jc w:val="both"/>
        <w:rPr>
          <w:rFonts w:ascii="Times New Roman" w:hAnsi="Times New Roman" w:cs="Times New Roman"/>
          <w:b/>
          <w:sz w:val="28"/>
          <w:szCs w:val="28"/>
          <w:shd w:val="clear" w:color="auto" w:fill="FFFFFF"/>
        </w:rPr>
      </w:pPr>
      <w:r w:rsidRPr="004F5888">
        <w:rPr>
          <w:rFonts w:ascii="Times New Roman" w:hAnsi="Times New Roman" w:cs="Times New Roman"/>
          <w:b/>
          <w:sz w:val="28"/>
          <w:szCs w:val="28"/>
          <w:shd w:val="clear" w:color="auto" w:fill="FFFFFF"/>
        </w:rPr>
        <w:t>1</w:t>
      </w:r>
      <w:r w:rsidR="00E7415B" w:rsidRPr="004F5888">
        <w:rPr>
          <w:rFonts w:ascii="Times New Roman" w:hAnsi="Times New Roman" w:cs="Times New Roman"/>
          <w:b/>
          <w:sz w:val="28"/>
          <w:szCs w:val="28"/>
          <w:shd w:val="clear" w:color="auto" w:fill="FFFFFF"/>
        </w:rPr>
        <w:t>.2 Образ жизни</w:t>
      </w:r>
    </w:p>
    <w:p w14:paraId="6C04339F" w14:textId="2A20739F" w:rsidR="004022A3" w:rsidRPr="004F5888" w:rsidRDefault="004022A3" w:rsidP="004F5888">
      <w:pPr>
        <w:spacing w:after="0" w:line="240" w:lineRule="auto"/>
        <w:ind w:firstLine="709"/>
        <w:jc w:val="both"/>
        <w:rPr>
          <w:rFonts w:ascii="Times New Roman" w:hAnsi="Times New Roman" w:cs="Times New Roman"/>
          <w:color w:val="000000" w:themeColor="text1"/>
          <w:sz w:val="28"/>
          <w:szCs w:val="28"/>
          <w:vertAlign w:val="superscript"/>
        </w:rPr>
      </w:pPr>
      <w:r w:rsidRPr="004F5888">
        <w:rPr>
          <w:rFonts w:ascii="Times New Roman" w:hAnsi="Times New Roman" w:cs="Times New Roman"/>
          <w:color w:val="000000" w:themeColor="text1"/>
          <w:sz w:val="28"/>
          <w:szCs w:val="28"/>
        </w:rPr>
        <w:t>Впервые о влиянии стресса на развитие БА изучил Симонов А Н, в своей работе он пришел к выводу, что хронический стресс является потенциальным фактором риска развития данного заболевания. Более того, механизмы, посредством которых стресс влияет на течение БА, довольно разнообразны и требуют более тщательного изучения. Однако важно отметить, что все вышеизложенные исследования, основанные на введении ГК, не отражают реального ответа организма на стрессорное воздействие, что также открывает широкий простор для дальнейших экспериментов. Вероятно, различные стратегии, направленные на устранение симптомов, связанных со стрессом, а также на повышение устойчивости к нему, могли бы улучшить качество жизни пациентов с деменцией, увеличить ее продолжительность и замедлить, а в дальнейшем и предотвратить развитие подобных заболеваний.</w:t>
      </w:r>
      <w:r w:rsidR="00EA503E" w:rsidRPr="004F5888">
        <w:rPr>
          <w:rFonts w:ascii="Times New Roman" w:hAnsi="Times New Roman" w:cs="Times New Roman"/>
          <w:color w:val="000000" w:themeColor="text1"/>
          <w:sz w:val="28"/>
          <w:szCs w:val="28"/>
          <w:vertAlign w:val="superscript"/>
        </w:rPr>
        <w:t>4</w:t>
      </w:r>
    </w:p>
    <w:p w14:paraId="52B35E3C" w14:textId="5AA1C0C7" w:rsidR="00A00CBC" w:rsidRPr="004F5888" w:rsidRDefault="00A00CBC" w:rsidP="004F5888">
      <w:pPr>
        <w:spacing w:after="0" w:line="240" w:lineRule="auto"/>
        <w:jc w:val="both"/>
        <w:rPr>
          <w:rFonts w:ascii="Times New Roman" w:hAnsi="Times New Roman" w:cs="Times New Roman"/>
          <w:color w:val="000000" w:themeColor="text1"/>
          <w:sz w:val="28"/>
          <w:szCs w:val="28"/>
          <w:vertAlign w:val="superscript"/>
        </w:rPr>
      </w:pPr>
      <w:r w:rsidRPr="004F5888">
        <w:rPr>
          <w:rStyle w:val="a9"/>
          <w:rFonts w:ascii="Times New Roman" w:hAnsi="Times New Roman" w:cs="Times New Roman"/>
          <w:color w:val="000000" w:themeColor="text1"/>
          <w:sz w:val="28"/>
          <w:szCs w:val="28"/>
          <w:u w:val="none"/>
        </w:rPr>
        <w:t xml:space="preserve">Ташкентсткой медицинской академией была проведена </w:t>
      </w:r>
      <w:r w:rsidRPr="004F5888">
        <w:rPr>
          <w:rFonts w:ascii="Times New Roman" w:hAnsi="Times New Roman" w:cs="Times New Roman"/>
          <w:color w:val="000000" w:themeColor="text1"/>
          <w:sz w:val="28"/>
          <w:szCs w:val="28"/>
        </w:rPr>
        <w:t xml:space="preserve">Интегральная оценка факторов риска развития болезни Альцгеймера с целью  изучить возможные факторы риска развития болезни Альцгеймера. Было исследовано 147 пациентов(которые находились на лечении в отделениях неврологии Ташкентской медицинской академии)  с когнитивными нарушениями, разделенных на 3 группы: в 1 группу включены 30 больных с выявленной ранней стадией БА (пресенильная деменция; n=30): 12 мужчин (40,0%) и 18 женщин (60,0%), возраст которых варьировался от 43 до 64 лет (средний возраст составил 57,4±0,67 года) (МКБ-10 G30.0); во 2 группу включены 17 больных с БА в возрасте старше 65 лет (сенильная деменция; n=17): 7 мужчин (41,1%) и 10 женщин (58,9%), возраст варьировался от 65 до 79 лет (средний возраст составил 70,3±0,67 года); в 3 условно-контрольную группу включены 100 больных с хронической ишемией мозга (ДЭ) II–III ст. c cосудистой деменцией: 37 мужчин (37%) и 63 женщины (63%) в возрасте от 43 до 92 лет (средний возраст 67,2±1,07 года) (МКБ-10 F01.3). С целью выявления когнитивной дисфункции были проведены нейропсихологические исследования с использованием специальных шкал (Хачинского, MMSE). Также респонденты были поделены на две группы: горожан и сельских жителей. В ходе исследования было выявлено, что Риск возникновения деменции и сопутствующих когнитивных заболеваний у людей, живущих в сельской местности, выше, чем у горожан. Проанализировав результаты, </w:t>
      </w:r>
      <w:r w:rsidRPr="004F5888">
        <w:rPr>
          <w:rFonts w:ascii="Times New Roman" w:hAnsi="Times New Roman" w:cs="Times New Roman"/>
          <w:color w:val="000000" w:themeColor="text1"/>
          <w:sz w:val="28"/>
          <w:szCs w:val="28"/>
        </w:rPr>
        <w:lastRenderedPageBreak/>
        <w:t>можно предположить, что зависимость риска возникновения деменции от места жительства связана с тем, что в сельских районах медицина обычно хуже, чем в городах. Помимо этого, проживание за городом чаще приводит к социальной изоляции, что также может служить дополнительным фактором для развития деменции. Анализ по возрасту выявил, что наибольшим оказалось число больных в возрастном интервале 50–59 лет в 1 группе, 70–80 лет – во 2-й группе, 60–70 и 70–80 лет – в 3-й группе. Наибольшее количество больных, заболевших деменцией, приходилось на возрастной интервал 60–70 и 70–80 лет. Необходимо отметить, что в старших возрастных группах частота встречаемости деменции постепенно увеличивается. Существуют и половые различия – женщины чаще заболевают БА, особенно после 85 лет. Женщины составляют 60% всех пациентов с БА. В контексте общей деменции женщины составляют 62% случаев. Также  Результаты  исследований также указывают на связь между повышенным уровнем сахара в крови в пожилом возрасте и возникновением нейродегенеративных нарушений, приводящих к индуцированию у пациентов ХИМ или БА. У всех обследованных больных из групп с ХИМ, ранней БА и БА наблюдалось статистически достоверное увеличение уровня глюкозы в крови – концентрация сахара превышала верхнюю границу нормальных показателей на 21–34%</w:t>
      </w:r>
      <w:r w:rsidR="00EA503E" w:rsidRPr="004F5888">
        <w:rPr>
          <w:rFonts w:ascii="Times New Roman" w:hAnsi="Times New Roman" w:cs="Times New Roman"/>
          <w:color w:val="000000" w:themeColor="text1"/>
          <w:sz w:val="28"/>
          <w:szCs w:val="28"/>
          <w:vertAlign w:val="superscript"/>
        </w:rPr>
        <w:t>5</w:t>
      </w:r>
    </w:p>
    <w:p w14:paraId="443DF593" w14:textId="7D353EA6" w:rsidR="004022A3" w:rsidRPr="004F5888" w:rsidRDefault="004022A3" w:rsidP="004F5888">
      <w:pPr>
        <w:spacing w:after="0" w:line="240" w:lineRule="auto"/>
        <w:ind w:firstLine="709"/>
        <w:jc w:val="both"/>
        <w:rPr>
          <w:rFonts w:ascii="Times New Roman" w:hAnsi="Times New Roman" w:cs="Times New Roman"/>
          <w:color w:val="000000" w:themeColor="text1"/>
          <w:sz w:val="28"/>
          <w:szCs w:val="28"/>
          <w:vertAlign w:val="superscript"/>
        </w:rPr>
      </w:pPr>
      <w:r w:rsidRPr="004F5888">
        <w:rPr>
          <w:rFonts w:ascii="Times New Roman" w:hAnsi="Times New Roman" w:cs="Times New Roman"/>
          <w:color w:val="000000" w:themeColor="text1"/>
          <w:sz w:val="28"/>
          <w:szCs w:val="28"/>
        </w:rPr>
        <w:t>Позже о влиянии стресса на развитие БА изучила А.Н. БОГОЛЕПОВА, она пришла к выводу, что Депрессия является независимым фактором риска деменции. Депрессия, предшествующая деменции, может быть причинным фактором риска для ее возникновения. Также в процессе работы было выявлено,что умеренное потребление красного вина ассоциируется со снижением риска болезни Альцгеймера. В то же время злоупотребление ассоциируется с увеличением риска. Было уделено внимание влиянию табакокурения на развитие БА, и  Боголеповой была выдвинута гипотеза о том, что употребление табака может увеличить частоту деменции или прогрессирование заболевания, так как табачный дым содержит множество токсичных веществ, способных потенциально усугубить альцгеймеровскую патологию, увеличивая амилоидогенез, воспаление и фосфорилирование тау-протеина.В холде работы было выявлено, что физическая активность может привести к появлению новых нейронов в мозге, формированию дополнительных синаптических контактов, повышению продукции мозгового нейротрофического фактора BDNF. 4-летнее наблюдение за 716 взрослыми испытуемыми показало, что высокий уровень повседневной физической активности ассоциируется со снижением риска болезни Альцгеймера после исключения влияния возраста, пола и образования</w:t>
      </w:r>
      <w:r w:rsidR="00EA503E" w:rsidRPr="004F5888">
        <w:rPr>
          <w:rFonts w:ascii="Times New Roman" w:hAnsi="Times New Roman" w:cs="Times New Roman"/>
          <w:color w:val="000000" w:themeColor="text1"/>
          <w:sz w:val="28"/>
          <w:szCs w:val="28"/>
        </w:rPr>
        <w:t>.</w:t>
      </w:r>
      <w:r w:rsidR="00EA503E" w:rsidRPr="004F5888">
        <w:rPr>
          <w:rFonts w:ascii="Times New Roman" w:hAnsi="Times New Roman" w:cs="Times New Roman"/>
          <w:color w:val="000000" w:themeColor="text1"/>
          <w:sz w:val="28"/>
          <w:szCs w:val="28"/>
          <w:vertAlign w:val="superscript"/>
        </w:rPr>
        <w:t>6</w:t>
      </w:r>
      <w:r w:rsidRPr="004F5888">
        <w:rPr>
          <w:rFonts w:ascii="Times New Roman" w:hAnsi="Times New Roman" w:cs="Times New Roman"/>
          <w:color w:val="000000" w:themeColor="text1"/>
          <w:sz w:val="28"/>
          <w:szCs w:val="28"/>
          <w:vertAlign w:val="superscript"/>
        </w:rPr>
        <w:t xml:space="preserve"> </w:t>
      </w:r>
    </w:p>
    <w:p w14:paraId="7FFECA3A"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Со времен Ганса Селье, впервые описавшего стресс как биологический феномен, известно, что хронический стресс может стать причиной развития различных патологий. Стресс активирует гипоталамо-гипофизарно-адренокортикальную систему (ГГАКС), что приводит к запуску каскада физиологических реакций. Сначала стресс индуцирует высвобождение кортикотропин-релизинг-фактора (КРФ), который, в свою очередь, стимулирует переднюю долю гипофиза для секреции адренокортикотропного гормона (АКТГ). Затем АКТГ стимулирует кору надпочечников, способствуя выделению </w:t>
      </w:r>
      <w:r w:rsidRPr="004F5888">
        <w:rPr>
          <w:rFonts w:ascii="Times New Roman" w:hAnsi="Times New Roman" w:cs="Times New Roman"/>
          <w:sz w:val="28"/>
          <w:szCs w:val="28"/>
        </w:rPr>
        <w:lastRenderedPageBreak/>
        <w:t xml:space="preserve">глюкокортикоидных гормонов — кортизола у человека и кортикостерона у грызунов. В норме торможение ГГАКС осуществляется посредством механизма отрицательной обратной связи (Tasker, Herman 2011). Продолжительный стресс приводит к чрезмерно длительной активации и, в дальнейшем, дисрегуляции ГГАКС. В результате гиперсекреция глюкокортикоидов (ГК) может привести к нарушению гомеостаза организма. Так, продолжительное воздействие ГК оказывает негативное влияние на нервную систему, индуцируя атрофию гиппокампа и префронтальной коры (McEwen 2008) и гипертрофию миндалины (Vyas et al. 2004), что впоследствии может привести к нарушениям памяти, эмоциональной нестабильности, окислительному стрессу, нейровоспалениям, а следовательно, и к различным нейродегенеративным заболеваниям, включая БА (Canet et al. 2019) (рис. 1). Доклинические исследования БА проводятся на модельных животных с БА-подобными патологиями, как трансгенных (Götz et al. 2018), так и не трансгенных (Shree et al. 2017). </w:t>
      </w:r>
    </w:p>
    <w:p w14:paraId="6CA10BB4"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Одни из первых доказательств связи стресса с БА были получены, когда введение экзогенных ГК крысам повысило экспрессию предшественника бетаамилоида (amyloid precursor protein, APP) и способствовало отложению гиперфосфорилированного тау-белка (Elliott et al. 1993; Budas et al. 1999). Повышенное отложение амилоидных бляшек и нейрофибриллярных клубков было выявлено и у трансгенных мышей с гиперэкспрессией КРФ и APP (Dong et al. 2012; Campbell et al. 2015b). Однако важно отметить, что отложение обоих белков было снижено у грызунов с дефицитом КРФ или же нокаутных по рецептору КРФ (Filipcik et al. 2012; Campbell et al. 2015a). </w:t>
      </w:r>
    </w:p>
    <w:p w14:paraId="794AE34F"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Стресс, вызванный иммобилизацией, также увеличил образование бета-амилоидного пептида у трансгенных мышей, причем схожий результат наблюдался и при введении им экзогенного КРФ (Kang et al. 2007). Кроме того, клетки нейробластомы, инкубированные с ГК, показали повышенную экспрессию APP и связанных с ним ферментов (Green et al. 2006). Таким образом, хотя данные модели только схожи с БА и представляют собой скорее БА-подобные невропатологии, а введение ГК или их повышенная экспрессия лишь частично имитирует индуцированную стрессом активацию ГГАКС, вышеуказанные исследования показали, что стресс действительно играет критическую роль в патогенезе БА. Анализ мутаций у пациентов с БА позволил выявить ассоциацию между данным заболеванием и мутацией в гене 11ß-HSD1, кодирующем 11ß-гидроксистероид дегидрогеназу, катализирующую превращение биологически инертного кортизона в кортизол (de Quervain et al. 2004). </w:t>
      </w:r>
    </w:p>
    <w:p w14:paraId="48FF55B2"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Фармакологическое ингибирование 11ß-HSD1 у мышей способствовало улучшению пространственной памяти (Sooy et al. 2010) и снижению количества амилоидных бляшек в коре и миндалине (Sooy et al. 2015). Нокаут данного гена привел к снижению уровня ГК в гиппокампе, а также к улучшению долговременной и пространственной памяти (Yau et al. 2015). Важнейшим молекулярным признаком БА является накопление тау-белка в виде нейрофибриллярных клубков, обладающих нейротоксичностью (Iqbal et al. 2010). Одно из недавних исследований выявило, что в норме тау подвергается эндосомной деградации (Vaz-Silva et al. 2018). Показано, </w:t>
      </w:r>
      <w:r w:rsidRPr="004F5888">
        <w:rPr>
          <w:rFonts w:ascii="Times New Roman" w:hAnsi="Times New Roman" w:cs="Times New Roman"/>
          <w:sz w:val="28"/>
          <w:szCs w:val="28"/>
        </w:rPr>
        <w:lastRenderedPageBreak/>
        <w:t>что нокаут гена, кодирующего малую гуанозинтрифосфат гидролазу (ГТФазу) Rab35, играющую ключевую роль в регуляции сортировки тау на пути к лизосомам, значительно замедляет его деградацию. Кроме того, в нейрональной культуре, обработанной ГК, было зафиксировано избирательное снижение экспрессии Rab35.</w:t>
      </w:r>
    </w:p>
    <w:p w14:paraId="06875B38"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Затем экспрессия Rab35 и других эндоцитарных ГТФаз была измерена в гиппокампе крыс, которые получали инъекции ГК. Уровень экспрессии Rab35 действительно был снижен, в то время как экспрессия других ГТФаз не менялась. В целом результаты in vitro и in vivo позволяют предположить, что ГК специфически подавляют транскрипцию Rab35, что и приводит к нарушениям в деградации тау. Было также продемонстрировано, что вызванное стрессом гиперфосфорилирование тау не было предотвращено адреналэктомией, однако его не наблюдалось у мышей с дефицитом рецептора КРФ 1-го типа (КРФР 1) и у мышей, получавших селективный антагонист КРФР 1 (анталармин). </w:t>
      </w:r>
    </w:p>
    <w:p w14:paraId="11C326BF" w14:textId="73034B6F" w:rsidR="00E7415B" w:rsidRPr="004F5888" w:rsidRDefault="00E7415B" w:rsidP="004F5888">
      <w:pPr>
        <w:spacing w:after="0" w:line="240" w:lineRule="auto"/>
        <w:ind w:firstLine="709"/>
        <w:jc w:val="both"/>
        <w:rPr>
          <w:rFonts w:ascii="Times New Roman" w:hAnsi="Times New Roman" w:cs="Times New Roman"/>
          <w:sz w:val="28"/>
          <w:szCs w:val="28"/>
          <w:shd w:val="clear" w:color="auto" w:fill="FFFFFF"/>
          <w:vertAlign w:val="superscript"/>
        </w:rPr>
      </w:pPr>
      <w:r w:rsidRPr="004F5888">
        <w:rPr>
          <w:rFonts w:ascii="Times New Roman" w:hAnsi="Times New Roman" w:cs="Times New Roman"/>
          <w:sz w:val="28"/>
          <w:szCs w:val="28"/>
        </w:rPr>
        <w:t>На основании вышеописанных данных авторы исследования пришли к заключению, что подобные результаты могут указывать на способность КРФ индуцировать тау-патологию независимо от активации ГГАКС (Rissman et al. 2007). Таким образом, последние исследования существенно расширили наши представления о патогенезе БА и показали, что хронический стресс является потенциальным фактором риска развития данного заболевания. Более того, механизмы, посредством которых стресс влияет на течение БА, довольно разнообразны и требуют более тщательного изучения. Однако важно отметить, что все вышеизложенные исследования, основанные на введении ГК, не отражают реального ответа организма на стрессорное воздействие, что также открывает широкий простор для дальнейших экспериментов. Вероятно, различные стратегии, направленные на устранение симптомов, связанных со стрессом, а также на повышение устойчивости к нему, могли бы улучшить качество жизни пациентов с деменцией, увеличить ее продолжительность и замедлить, а в дальнейшем и предотвратить развитие подобных заболеваний.</w:t>
      </w:r>
      <w:r w:rsidR="00EA503E" w:rsidRPr="004F5888">
        <w:rPr>
          <w:rFonts w:ascii="Times New Roman" w:hAnsi="Times New Roman" w:cs="Times New Roman"/>
          <w:sz w:val="28"/>
          <w:szCs w:val="28"/>
          <w:vertAlign w:val="superscript"/>
        </w:rPr>
        <w:t>7</w:t>
      </w:r>
    </w:p>
    <w:p w14:paraId="7782D208" w14:textId="77777777" w:rsidR="004022A3" w:rsidRPr="004F5888" w:rsidRDefault="004022A3" w:rsidP="004F5888">
      <w:pPr>
        <w:spacing w:after="0" w:line="240" w:lineRule="auto"/>
        <w:ind w:firstLine="709"/>
        <w:jc w:val="both"/>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 xml:space="preserve">В 1970 было проведено Уникальное исследование В Швеции под  названием. Все 50-летние мужчины были включены в исследование, их повторно осматривали в возрасте 60, 70, 77, 82 и 88 лет. Были проанализированы данные 1 574 участников. Логистическая регрессия показала, что наибольший риск развития деменции отмечен только у мужчин, сообщавших о нарушениях сна в возрасте 70 лет (OR 2,14 [95% CI – 1,42, 3,21]). Нарушения сна провоцируют развитие сердечнососудистой патологии. Популяционное исследование 20 432 человек в возрасте 20–65 лет подтвердило такое влияние. </w:t>
      </w:r>
    </w:p>
    <w:p w14:paraId="70C08785" w14:textId="77777777" w:rsidR="004022A3" w:rsidRPr="004F5888" w:rsidRDefault="004022A3" w:rsidP="004F5888">
      <w:pPr>
        <w:spacing w:after="0" w:line="240" w:lineRule="auto"/>
        <w:ind w:firstLine="709"/>
        <w:jc w:val="both"/>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 xml:space="preserve">Также в периол с 1995 по 1998 было проведено исследование the Sleep Heart Health Study мужчин старше 60 лет во время оценки сна (средний возраст 67 ± 5 лет, 50% мужчин). Обследование сна выполнялось с использованием домашней полисомнографии. Участников наблюдали в течение 19 лет (среднее наблюдение 12 ± 5 лет). После корректировки по возрасту и полу более низкий процент REM-сна и более длительная латентность REM-сна были связаны с более высоким риском развития деменции. Каждое процентное снижение REM-сна было связано с приблизительно 9%-ным увеличением риска развития деменции (коэффициент риска </w:t>
      </w:r>
      <w:r w:rsidRPr="004F5888">
        <w:rPr>
          <w:rFonts w:ascii="Times New Roman" w:hAnsi="Times New Roman" w:cs="Times New Roman"/>
          <w:color w:val="000000" w:themeColor="text1"/>
          <w:sz w:val="28"/>
          <w:szCs w:val="28"/>
        </w:rPr>
        <w:lastRenderedPageBreak/>
        <w:t>0,91, 95% CI 0,86, 0,97). Это может быть основанием для рассмотрения состояния REM-сна как предиктора клинической деменции. Нарушения сна приводят к изменению обмена амилоида, препятствуя клиренсу Aβ, увеличивая синаптическую активность и способствуя накоплению Aβ, а также ухудшая реакцию эндоплазматического ретикулума на клеточный стресс, приводящий к накоплению Aβ.</w:t>
      </w:r>
    </w:p>
    <w:p w14:paraId="251BFB05" w14:textId="77777777" w:rsidR="004022A3" w:rsidRPr="004F5888" w:rsidRDefault="004022A3" w:rsidP="004F5888">
      <w:pPr>
        <w:spacing w:after="0" w:line="240" w:lineRule="auto"/>
        <w:ind w:firstLine="709"/>
        <w:jc w:val="both"/>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 xml:space="preserve">Также была опубликована статья в журнале Alzheimer’s &amp; Dementia, в которой американские ученые призывали обратить внимание на то, что </w:t>
      </w:r>
      <w:r w:rsidRPr="004F5888">
        <w:rPr>
          <w:rFonts w:ascii="Times New Roman" w:hAnsi="Times New Roman" w:cs="Times New Roman"/>
          <w:color w:val="000000" w:themeColor="text1"/>
          <w:sz w:val="28"/>
          <w:szCs w:val="28"/>
          <w:shd w:val="clear" w:color="auto" w:fill="FFFFFF"/>
        </w:rPr>
        <w:t>болезнь Альцгеймера клинически проявляется, прогрессирует и реагирует на терапию по-разному у мужчин и женщин.</w:t>
      </w:r>
      <w:r w:rsidRPr="004F5888">
        <w:rPr>
          <w:rFonts w:ascii="Times New Roman" w:hAnsi="Times New Roman" w:cs="Times New Roman"/>
          <w:color w:val="000000" w:themeColor="text1"/>
          <w:sz w:val="28"/>
          <w:szCs w:val="28"/>
        </w:rPr>
        <w:t>В ряде клинических исследований было установлено, что женщины подвержены более высокому риску развития БА, чем мужчины. Другие исследования показали, что более высокий риск развития БА более специфичен для пожилых женщин . Предполагается, что женщинам чаще ставится правильный диагноз деменции при БА, потому что патоморфологические изменения, характерные для БА, чаще встречаются у женщин, отмечается большее вовлечение гиппокампа в патологический процесс по сравнению с неокортексом, что приводит к развитию амнестического синдрома.</w:t>
      </w:r>
    </w:p>
    <w:p w14:paraId="3D79B27A" w14:textId="77777777" w:rsidR="004022A3" w:rsidRPr="004F5888" w:rsidRDefault="004022A3" w:rsidP="004F5888">
      <w:pPr>
        <w:spacing w:after="0" w:line="240" w:lineRule="auto"/>
        <w:ind w:firstLine="709"/>
        <w:jc w:val="both"/>
        <w:rPr>
          <w:rFonts w:ascii="Times New Roman" w:hAnsi="Times New Roman" w:cs="Times New Roman"/>
          <w:color w:val="000000" w:themeColor="text1"/>
          <w:sz w:val="28"/>
          <w:szCs w:val="28"/>
        </w:rPr>
      </w:pPr>
      <w:r w:rsidRPr="004F5888">
        <w:rPr>
          <w:rFonts w:ascii="Times New Roman" w:hAnsi="Times New Roman" w:cs="Times New Roman"/>
          <w:color w:val="000000" w:themeColor="text1"/>
          <w:sz w:val="28"/>
          <w:szCs w:val="28"/>
        </w:rPr>
        <w:t>С 16 по 20 июля 2017 г. в Лондоне (Великобритания) проходила международная конференция, посвященная болезни Альцгеймера (БА) (Alzheimer's Association International Conference, AAIC). На этой конференции ученые заявили, что на долю БА приходится приблизительно 75% всех случаев деменции в мире, а к 2050 г. БА будет диагностирована у 115,4 млн человек. По данным доклада, опубликованного в журнале Lancet, в настоящее время число таких больных оценивается в 47 млн. Согласно эпидемиологическим данным, представленным исследователями из Университета Хопкинса (США), выделяют три формы БА в зависимости от возраста дебюта: с поздним началом (у пациентов старше 85 лет), типичным дебютом (65–80 лет) и ранним дебютом (60 лет и менее).</w:t>
      </w:r>
    </w:p>
    <w:p w14:paraId="00C0CCFD" w14:textId="77777777" w:rsidR="004022A3" w:rsidRPr="004F5888" w:rsidRDefault="004022A3" w:rsidP="004F5888">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4F5888">
        <w:rPr>
          <w:rFonts w:ascii="Times New Roman" w:hAnsi="Times New Roman" w:cs="Times New Roman"/>
          <w:color w:val="000000" w:themeColor="text1"/>
          <w:sz w:val="28"/>
          <w:szCs w:val="28"/>
        </w:rPr>
        <w:t xml:space="preserve">Более раннее исследование </w:t>
      </w:r>
      <w:r w:rsidRPr="004F5888">
        <w:rPr>
          <w:rFonts w:ascii="Times New Roman" w:hAnsi="Times New Roman" w:cs="Times New Roman"/>
          <w:color w:val="000000" w:themeColor="text1"/>
          <w:sz w:val="28"/>
          <w:szCs w:val="28"/>
          <w:shd w:val="clear" w:color="auto" w:fill="FFFFFF"/>
        </w:rPr>
        <w:t xml:space="preserve">в НЦПЗ РАМН в 1992-1995 гг. было проведено сплошное клинико-эпидемиологическое изучение населения пожилого возраста, проживающего на ограниченной территории одного из районов Москвы. Данное исследование говорит о том, что </w:t>
      </w:r>
      <w:r w:rsidRPr="004F5888">
        <w:rPr>
          <w:rFonts w:ascii="Times New Roman" w:eastAsia="Times New Roman" w:hAnsi="Times New Roman" w:cs="Times New Roman"/>
          <w:color w:val="000000" w:themeColor="text1"/>
          <w:sz w:val="28"/>
          <w:szCs w:val="28"/>
          <w:lang w:eastAsia="ru-RU"/>
        </w:rPr>
        <w:t>среди различных причин деменций в пожилом возрасте преобладает болезнь Альцгеймера с поздним началом (сенильная деменция альцгеймеровского типа — С ДАТ). На долю СДАТ приходится почти половина случаев деменций в пожилом возрасте. СДАТ диагностирована у 50 пожилых лиц, т. е. у 4,5 % обследованной популяции. При этом у 30 человек (2,7 %) установлена мягкая деменция и у 20 человек (1,8 %) — клинически выраженная СДАТ. Из 20 больных с клинически выраженной деменцией у 17(1,5 %) установлена умеренно выраженная и у 3 (0,3 %) — тяжелая деменция.</w:t>
      </w:r>
    </w:p>
    <w:p w14:paraId="7F84B124" w14:textId="77777777" w:rsidR="004022A3" w:rsidRPr="004F5888" w:rsidRDefault="004022A3" w:rsidP="004F588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F5888">
        <w:rPr>
          <w:rFonts w:ascii="Times New Roman" w:eastAsia="Times New Roman" w:hAnsi="Times New Roman" w:cs="Times New Roman"/>
          <w:color w:val="000000" w:themeColor="text1"/>
          <w:sz w:val="28"/>
          <w:szCs w:val="28"/>
          <w:lang w:eastAsia="ru-RU"/>
        </w:rPr>
        <w:t xml:space="preserve">Данные проведенного эпидемиологического исследования свидетельствуют о том, что популяционная частота БА/ДАТ неуклонно растет по мере увеличения возраста и составляет соответственно 0,7 %, 4,6 %, 16,5 % и 18,2 % в возрастных группах 60-69, 70-79, 80-89 и 90 и более лет. Проведенный анализ свидетельствует, что среди всех выявленных в населении больных БА/ДАТ доля лиц в возрасте 80 — 89 лет составила 52,0 %, тогда как для всей обследованной популяции этот показатель </w:t>
      </w:r>
      <w:r w:rsidRPr="004F5888">
        <w:rPr>
          <w:rFonts w:ascii="Times New Roman" w:eastAsia="Times New Roman" w:hAnsi="Times New Roman" w:cs="Times New Roman"/>
          <w:color w:val="000000" w:themeColor="text1"/>
          <w:sz w:val="28"/>
          <w:szCs w:val="28"/>
          <w:lang w:eastAsia="ru-RU"/>
        </w:rPr>
        <w:lastRenderedPageBreak/>
        <w:t>меньше более чем </w:t>
      </w:r>
      <w:r w:rsidRPr="004F5888">
        <w:rPr>
          <w:rFonts w:ascii="Times New Roman" w:eastAsia="Times New Roman" w:hAnsi="Times New Roman" w:cs="Times New Roman"/>
          <w:color w:val="000000" w:themeColor="text1"/>
          <w:sz w:val="28"/>
          <w:szCs w:val="28"/>
          <w:vertAlign w:val="superscript"/>
          <w:lang w:eastAsia="ru-RU"/>
        </w:rPr>
        <w:t>в</w:t>
      </w:r>
      <w:r w:rsidRPr="004F5888">
        <w:rPr>
          <w:rFonts w:ascii="Times New Roman" w:eastAsia="Times New Roman" w:hAnsi="Times New Roman" w:cs="Times New Roman"/>
          <w:color w:val="000000" w:themeColor="text1"/>
          <w:sz w:val="28"/>
          <w:szCs w:val="28"/>
          <w:lang w:eastAsia="ru-RU"/>
        </w:rPr>
        <w:t> 3,5 раза и равен 14,2 % (р&lt;0,005). Еще меньше доля лиц аналогичного возраста в группе пожилых людей без психических нарушений — 7,2 %. То есть 80-89-летний возрастной период можно рассматривать как возраст наибольшей подверженности сенильному типу БА/ДАТ.</w:t>
      </w:r>
    </w:p>
    <w:p w14:paraId="208CAADE" w14:textId="77777777" w:rsidR="004022A3" w:rsidRPr="004F5888" w:rsidRDefault="004022A3" w:rsidP="004F588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F5888">
        <w:rPr>
          <w:rFonts w:ascii="Times New Roman" w:eastAsia="Times New Roman" w:hAnsi="Times New Roman" w:cs="Times New Roman"/>
          <w:color w:val="000000" w:themeColor="text1"/>
          <w:sz w:val="28"/>
          <w:szCs w:val="28"/>
          <w:lang w:eastAsia="ru-RU"/>
        </w:rPr>
        <w:t>В исследованиях 1992(Bachman D. et al., 1992; Hafner H., 1990) года было установлено, что показатели распространенности БА/ДАТ среди женщин выше, чем среди мужчин того же возраста.  Вместе с тем, некоторые исследователи (Fratiglioni L., 1993) не обнаружили существенных различий в распространенности БА/ДАТ среди обоих полов в возрастных группах 75-79 и 80-84 лет, и только в более позднем возрасте частота заболевания достоверно выше у женщин, чем у мужчин.</w:t>
      </w:r>
    </w:p>
    <w:p w14:paraId="4F83BE2B" w14:textId="77777777" w:rsidR="004022A3" w:rsidRPr="004F5888" w:rsidRDefault="004022A3" w:rsidP="004F588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F5888">
        <w:rPr>
          <w:rFonts w:ascii="Times New Roman" w:eastAsia="Times New Roman" w:hAnsi="Times New Roman" w:cs="Times New Roman"/>
          <w:color w:val="000000" w:themeColor="text1"/>
          <w:sz w:val="28"/>
          <w:szCs w:val="28"/>
          <w:lang w:eastAsia="ru-RU"/>
        </w:rPr>
        <w:t xml:space="preserve">Некоторыми исследователями было высказано предположение, что низкий уровень образования не только влияет на выявляемость деменции, но и обусловливает предрасположенность к развитию слабоумия. </w:t>
      </w:r>
    </w:p>
    <w:p w14:paraId="0C236851" w14:textId="77777777" w:rsidR="004022A3" w:rsidRPr="004F5888" w:rsidRDefault="004022A3" w:rsidP="004F5888">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4F5888">
        <w:rPr>
          <w:rFonts w:ascii="Times New Roman" w:eastAsia="Times New Roman" w:hAnsi="Times New Roman" w:cs="Times New Roman"/>
          <w:color w:val="000000" w:themeColor="text1"/>
          <w:sz w:val="28"/>
          <w:szCs w:val="28"/>
          <w:lang w:eastAsia="ru-RU"/>
        </w:rPr>
        <w:t>В 1993 Р.Катцман выдвинул мысль о том, что интеллектуальная активность, особенно в раннем возрасте, приводит к образованию дополнительных связей между нейронами (спрутингу), что в дальнейшем может быть препятствием для развития БА/ДАТ.По нашему мнению, влияние уровня образования на популяционные показатели опосредовано также многими другими факторами, производными от уровня образования, такими как профессионально-производственные условия, материально-бытовые условия, образ жизни и т. п.</w:t>
      </w:r>
    </w:p>
    <w:p w14:paraId="3EBD195D" w14:textId="54B414AC" w:rsidR="004022A3" w:rsidRPr="004F5888" w:rsidRDefault="004022A3" w:rsidP="004F5888">
      <w:pPr>
        <w:shd w:val="clear" w:color="auto" w:fill="FFFFFF"/>
        <w:spacing w:after="0" w:line="240" w:lineRule="auto"/>
        <w:ind w:firstLine="709"/>
        <w:jc w:val="both"/>
        <w:rPr>
          <w:rStyle w:val="a9"/>
          <w:rFonts w:ascii="Times New Roman" w:eastAsia="Times New Roman" w:hAnsi="Times New Roman" w:cs="Times New Roman"/>
          <w:color w:val="000000" w:themeColor="text1"/>
          <w:sz w:val="28"/>
          <w:szCs w:val="28"/>
          <w:u w:val="none"/>
          <w:vertAlign w:val="superscript"/>
          <w:lang w:eastAsia="ru-RU"/>
        </w:rPr>
      </w:pPr>
      <w:r w:rsidRPr="004F5888">
        <w:rPr>
          <w:rFonts w:ascii="Times New Roman" w:eastAsia="Times New Roman" w:hAnsi="Times New Roman" w:cs="Times New Roman"/>
          <w:color w:val="000000" w:themeColor="text1"/>
          <w:sz w:val="28"/>
          <w:szCs w:val="28"/>
          <w:lang w:eastAsia="ru-RU"/>
        </w:rPr>
        <w:t>Данные о том, что в жизни больных БА/ДАТ неблагоприятные жизненные события встречаются достоверно чаще, нежели у здоровых лиц того же возраста, были подтверждены зарубежными эпидемиологическими  исследованиями в 1994 Л.Бидзаном. (Bidzan L., 1994). Возможно, такой распространенный фактор, как вдовство в пожилом возрасте является серьезным как психотравмирующим, так и нарушающим жизненный стереотип фактором.</w:t>
      </w:r>
      <w:r w:rsidR="00EA503E" w:rsidRPr="004F5888">
        <w:rPr>
          <w:rFonts w:ascii="Times New Roman" w:eastAsia="Times New Roman" w:hAnsi="Times New Roman" w:cs="Times New Roman"/>
          <w:color w:val="000000" w:themeColor="text1"/>
          <w:sz w:val="28"/>
          <w:szCs w:val="28"/>
          <w:vertAlign w:val="superscript"/>
          <w:lang w:eastAsia="ru-RU"/>
        </w:rPr>
        <w:t>8</w:t>
      </w:r>
    </w:p>
    <w:p w14:paraId="7E1EA7DD" w14:textId="517F026C"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Табачный дым содержит множество токсичных веществ, способных потенциально усугубить альцгеймеровскую патологию, увеличивая амилоидогенез, воспаление и фосфор</w:t>
      </w:r>
      <w:r w:rsidR="00EA503E" w:rsidRPr="004F5888">
        <w:rPr>
          <w:rFonts w:ascii="Times New Roman" w:hAnsi="Times New Roman" w:cs="Times New Roman"/>
          <w:sz w:val="28"/>
          <w:szCs w:val="28"/>
        </w:rPr>
        <w:t>илирование тау-протеина</w:t>
      </w:r>
      <w:r w:rsidRPr="004F5888">
        <w:rPr>
          <w:rFonts w:ascii="Times New Roman" w:hAnsi="Times New Roman" w:cs="Times New Roman"/>
          <w:sz w:val="28"/>
          <w:szCs w:val="28"/>
        </w:rPr>
        <w:t xml:space="preserve">. Все эти данные позволяют предположить: употребление табака может увеличить частоту деменции или прогрессирование заболевания. </w:t>
      </w:r>
    </w:p>
    <w:p w14:paraId="791ABD7F"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Умеренное потребление красного вина, включенное в средиземноморскую диету, ассоциируется со снижением риска болезни Альцгеймера. В то же время злоупотребление ассоциируется с увеличением риска.</w:t>
      </w:r>
    </w:p>
    <w:p w14:paraId="11E4A6DA"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Депрессия является независимым фактором риска деменции. Депрессия, предшествующая деменции, может быть причинным фактором риска для ее возникновения. </w:t>
      </w:r>
    </w:p>
    <w:p w14:paraId="0BE1BA76" w14:textId="15B6CC38" w:rsidR="00E7415B" w:rsidRPr="004F5888" w:rsidRDefault="00E7415B" w:rsidP="004F5888">
      <w:pPr>
        <w:spacing w:after="0" w:line="240" w:lineRule="auto"/>
        <w:ind w:firstLine="709"/>
        <w:jc w:val="both"/>
        <w:rPr>
          <w:rFonts w:ascii="Times New Roman" w:hAnsi="Times New Roman" w:cs="Times New Roman"/>
          <w:sz w:val="28"/>
          <w:szCs w:val="28"/>
          <w:vertAlign w:val="superscript"/>
        </w:rPr>
      </w:pPr>
      <w:r w:rsidRPr="004F5888">
        <w:rPr>
          <w:rFonts w:ascii="Times New Roman" w:hAnsi="Times New Roman" w:cs="Times New Roman"/>
          <w:sz w:val="28"/>
          <w:szCs w:val="28"/>
        </w:rPr>
        <w:t xml:space="preserve">Схожий результат отмечается при выполнении достаточной физической активности. Физическая активность может привести к появлению новых нейронов в мозге, формированию дополнительных синаптических контактов, повышению продукции мозгового нейротрофического фактора BDNF. 4-летнее наблюдение за 716 взрослыми испытуемыми показало, что высокий уровень повседневной физической активности ассоциируется со снижением риска болезни Альцгеймера после </w:t>
      </w:r>
      <w:r w:rsidRPr="004F5888">
        <w:rPr>
          <w:rFonts w:ascii="Times New Roman" w:hAnsi="Times New Roman" w:cs="Times New Roman"/>
          <w:sz w:val="28"/>
          <w:szCs w:val="28"/>
        </w:rPr>
        <w:lastRenderedPageBreak/>
        <w:t>исключения влияния возраста, пола и образования (hazard ratio –</w:t>
      </w:r>
      <w:r w:rsidR="00EA503E" w:rsidRPr="004F5888">
        <w:rPr>
          <w:rFonts w:ascii="Times New Roman" w:hAnsi="Times New Roman" w:cs="Times New Roman"/>
          <w:sz w:val="28"/>
          <w:szCs w:val="28"/>
        </w:rPr>
        <w:t xml:space="preserve"> 0,477; 95% CI 0,273–0,832)</w:t>
      </w:r>
      <w:r w:rsidRPr="004F5888">
        <w:rPr>
          <w:rFonts w:ascii="Times New Roman" w:hAnsi="Times New Roman" w:cs="Times New Roman"/>
          <w:sz w:val="28"/>
          <w:szCs w:val="28"/>
        </w:rPr>
        <w:t>.</w:t>
      </w:r>
      <w:r w:rsidR="00EA503E" w:rsidRPr="004F5888">
        <w:rPr>
          <w:rFonts w:ascii="Times New Roman" w:hAnsi="Times New Roman" w:cs="Times New Roman"/>
          <w:sz w:val="28"/>
          <w:szCs w:val="28"/>
          <w:vertAlign w:val="superscript"/>
        </w:rPr>
        <w:t>9</w:t>
      </w:r>
    </w:p>
    <w:p w14:paraId="397037CE" w14:textId="5E754BCA" w:rsidR="00E7415B" w:rsidRPr="004F5888" w:rsidRDefault="00E7415B"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Стратегии, связанные с питанием, сосредоточены на общем качестве диеты, а не на отдельных продуктах питания или питательных веществах. Высококачественные диеты, которые связаны с лучшей когнитивной функцией и снижением риска деменции, акцентируются на употреблении овощей, фруктов, орехов, цельных зерен и рыбы, а также минимизации употребления красного мяса, высокожирных молочных продуктов, сладостей и высокообр</w:t>
      </w:r>
      <w:r w:rsidR="0040337B" w:rsidRPr="004F5888">
        <w:rPr>
          <w:rFonts w:ascii="Times New Roman" w:hAnsi="Times New Roman" w:cs="Times New Roman"/>
          <w:sz w:val="28"/>
          <w:szCs w:val="28"/>
        </w:rPr>
        <w:t>аботанных пищевых продуктов</w:t>
      </w:r>
      <w:r w:rsidRPr="004F5888">
        <w:rPr>
          <w:rFonts w:ascii="Times New Roman" w:hAnsi="Times New Roman" w:cs="Times New Roman"/>
          <w:sz w:val="28"/>
          <w:szCs w:val="28"/>
        </w:rPr>
        <w:t>. На этих принципах были построены подготовленные в 2015 г. в Нидерланд</w:t>
      </w:r>
      <w:r w:rsidR="0040337B" w:rsidRPr="004F5888">
        <w:rPr>
          <w:rFonts w:ascii="Times New Roman" w:hAnsi="Times New Roman" w:cs="Times New Roman"/>
          <w:sz w:val="28"/>
          <w:szCs w:val="28"/>
        </w:rPr>
        <w:t>ах диетические рекомендации</w:t>
      </w:r>
      <w:r w:rsidRPr="004F5888">
        <w:rPr>
          <w:rFonts w:ascii="Times New Roman" w:hAnsi="Times New Roman" w:cs="Times New Roman"/>
          <w:sz w:val="28"/>
          <w:szCs w:val="28"/>
        </w:rPr>
        <w:t xml:space="preserve">. Был включен 9 701 участник Роттердамского исследования (популяционная проспективная когорта, лица в возрасте 45 лет и старше, в среднем 64,1 года (95%  – в группе 49,0–82,8)). Период наблюдения в среднем составлял 13,5 года (диапазон 0–27,0). Отмечен меньший риск смертности, инсульта, хронической обструктивной болезни легких, колоректального рака и депрессии. Для адекватного функционирования нервной ткани необходимо крайне сбалансированное поступление различных веществ. Например, с одной стороны, липиды являются основными структурными компонентами клеточных мембран нейронов. </w:t>
      </w:r>
    </w:p>
    <w:p w14:paraId="2119A058" w14:textId="3F1F05D8"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С другой стороны, холестерин может играть важную роль при БА. В частности, холестерин образует ядро амилоидных бляшек, и это обусловлено тем, что первичная роль белка – предшественника амилоида (APP)  – удаление избыточного холестерина из головного мозга. ApoE кодирует один из нескольких белков, вовлечен</w:t>
      </w:r>
      <w:r w:rsidR="0040337B" w:rsidRPr="004F5888">
        <w:rPr>
          <w:rFonts w:ascii="Times New Roman" w:hAnsi="Times New Roman" w:cs="Times New Roman"/>
          <w:sz w:val="28"/>
          <w:szCs w:val="28"/>
        </w:rPr>
        <w:t>ных в транспорт холестерина</w:t>
      </w:r>
      <w:r w:rsidRPr="004F5888">
        <w:rPr>
          <w:rFonts w:ascii="Times New Roman" w:hAnsi="Times New Roman" w:cs="Times New Roman"/>
          <w:sz w:val="28"/>
          <w:szCs w:val="28"/>
        </w:rPr>
        <w:t xml:space="preserve">. Состав диетического жира является важным фактором в функционировании гематоэнцефалического барьера. </w:t>
      </w:r>
    </w:p>
    <w:p w14:paraId="6F2926E2" w14:textId="7E45BA79"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Рыба и рыбий жир являются наиболее распространенными диетическими источниками длинноцепочечных омега-3 жирных кислот из группы полиненасыщенных жиров, которые в первую очередь включают эйкозапентаеновую и докозагексаеновую кислоты. Регулярное потребление обоих этих жир</w:t>
      </w:r>
      <w:r w:rsidR="0040337B" w:rsidRPr="004F5888">
        <w:rPr>
          <w:rFonts w:ascii="Times New Roman" w:hAnsi="Times New Roman" w:cs="Times New Roman"/>
          <w:sz w:val="28"/>
          <w:szCs w:val="28"/>
        </w:rPr>
        <w:t>ов может уменьшать эндотелиаль</w:t>
      </w:r>
      <w:r w:rsidRPr="004F5888">
        <w:rPr>
          <w:rFonts w:ascii="Times New Roman" w:hAnsi="Times New Roman" w:cs="Times New Roman"/>
          <w:sz w:val="28"/>
          <w:szCs w:val="28"/>
        </w:rPr>
        <w:t xml:space="preserve">ную дисфункцию, уровень триглицеридов и оказывать противовоспалительное действие. </w:t>
      </w:r>
    </w:p>
    <w:p w14:paraId="18C5A0EB" w14:textId="09F44C74"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Систематический обзор проспективных исследований, включавших 28 754 субъекта, при сравнении максимального и наименьшего уровня потребления рыбы выявил суммарный относительный риск для БА, равный 0,80 (95% ДИ = 0,65–0,97), т. е. люди с более высоким потреблением рыбы имели 20%-ное (95% ДИ</w:t>
      </w:r>
      <w:r w:rsidR="0040337B" w:rsidRPr="004F5888">
        <w:rPr>
          <w:rFonts w:ascii="Times New Roman" w:hAnsi="Times New Roman" w:cs="Times New Roman"/>
          <w:sz w:val="28"/>
          <w:szCs w:val="28"/>
        </w:rPr>
        <w:t xml:space="preserve"> = 3–35%) снижение риска БА</w:t>
      </w:r>
      <w:r w:rsidRPr="004F5888">
        <w:rPr>
          <w:rFonts w:ascii="Times New Roman" w:hAnsi="Times New Roman" w:cs="Times New Roman"/>
          <w:sz w:val="28"/>
          <w:szCs w:val="28"/>
        </w:rPr>
        <w:t xml:space="preserve">. Метаанализ 43 исследований, посвященных связи диетических особенностей с риском развития деменции, показал снижение риска при употреблении ненасыщенных жирных кислот (RR: 0,84, 95% ДИ: [0,74–0,95], p = 0,006), антиоксидантов (RR: 0,87, 95% ДИ: [0,77–0,98] , p = 0,026), витамина B (RR: 0,72, 95% ДИ: 0,54–0,96), p = 0,026) и средиземноморской диеты (RR: 0,69, 95% ДИ: [0,57–0,84] p &lt; 0,001). Некоторые вещества были связаны с увеличением риска деменции: например, алюминий (RR: 2,24, 95% ДИ: [1,49–3,37], p &lt; 0,001) и низкий уровень витамина D (RR: 1,52, 95% ДИ: [1,17–1,98], p = 0,002) [36]. Среди различных диетических моделей, которые были проверены на их воздействие на когнитивные функции, традиционная средиземноморская диета показала многообещающие результаты. </w:t>
      </w:r>
    </w:p>
    <w:p w14:paraId="70BB11BD" w14:textId="261DF6EC" w:rsidR="00E7415B" w:rsidRPr="004F5888" w:rsidRDefault="00E7415B" w:rsidP="004F5888">
      <w:pPr>
        <w:spacing w:after="0" w:line="240" w:lineRule="auto"/>
        <w:ind w:firstLine="709"/>
        <w:jc w:val="both"/>
        <w:rPr>
          <w:rFonts w:ascii="Times New Roman" w:hAnsi="Times New Roman" w:cs="Times New Roman"/>
          <w:sz w:val="28"/>
          <w:szCs w:val="28"/>
          <w:vertAlign w:val="superscript"/>
        </w:rPr>
      </w:pPr>
      <w:r w:rsidRPr="004F5888">
        <w:rPr>
          <w:rFonts w:ascii="Times New Roman" w:hAnsi="Times New Roman" w:cs="Times New Roman"/>
          <w:sz w:val="28"/>
          <w:szCs w:val="28"/>
        </w:rPr>
        <w:lastRenderedPageBreak/>
        <w:t>Средиземноморская диета включает: 1) высокое содержание мононенасыщенных/насыщенных жиров (использование оливкового масла в качестве основного ингредиента для приготовления пищи); 2) высокое потребление фруктов/овощей; 3) высокое потребление бобовых; 4) высокий уровень потребления зерновых культур; 5) умеренное потребление красного вина; 6) умеренное потребление молочных продуктов и 7) низкий уровень потребления мяса и мясных продуктов</w:t>
      </w:r>
      <w:r w:rsidR="0040337B" w:rsidRPr="004F5888">
        <w:rPr>
          <w:rFonts w:ascii="Times New Roman" w:hAnsi="Times New Roman" w:cs="Times New Roman"/>
          <w:sz w:val="28"/>
          <w:szCs w:val="28"/>
          <w:vertAlign w:val="superscript"/>
        </w:rPr>
        <w:t>10</w:t>
      </w:r>
    </w:p>
    <w:p w14:paraId="53A46C9B" w14:textId="137C531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Уникальным является исследование The Uppsala Longitudinal Study of Adult Men (ULSAM), которое было инициировано в 1970 г</w:t>
      </w:r>
      <w:r w:rsidR="0040337B" w:rsidRPr="004F5888">
        <w:rPr>
          <w:rFonts w:ascii="Times New Roman" w:hAnsi="Times New Roman" w:cs="Times New Roman"/>
          <w:sz w:val="28"/>
          <w:szCs w:val="28"/>
        </w:rPr>
        <w:t xml:space="preserve">. в Уппсале (Швеция) </w:t>
      </w:r>
      <w:r w:rsidRPr="004F5888">
        <w:rPr>
          <w:rFonts w:ascii="Times New Roman" w:hAnsi="Times New Roman" w:cs="Times New Roman"/>
          <w:sz w:val="28"/>
          <w:szCs w:val="28"/>
        </w:rPr>
        <w:t>. Все 50-летние мужчины были включены в исследование, их повторно осматривали в возрасте 60, 70, 77, 82 и 88 лет. Были проанализированы данные 1 574 участников. Логистическая регрессия показала, что наибольший риск развития деменции отмечен только у мужчин, сообщавших о нарушениях сна в возрасте 70 лет (OR 2,14 [95% CI – 1,42, 3,21]). Нарушения сна провоцируют развитие сердечнососудистой патологии. Популяционное исследование 20 432 человек в возрасте 20–65 лет подтвердило такое влия</w:t>
      </w:r>
      <w:r w:rsidR="0040337B" w:rsidRPr="004F5888">
        <w:rPr>
          <w:rFonts w:ascii="Times New Roman" w:hAnsi="Times New Roman" w:cs="Times New Roman"/>
          <w:sz w:val="28"/>
          <w:szCs w:val="28"/>
        </w:rPr>
        <w:t>ние</w:t>
      </w:r>
      <w:r w:rsidRPr="004F5888">
        <w:rPr>
          <w:rFonts w:ascii="Times New Roman" w:hAnsi="Times New Roman" w:cs="Times New Roman"/>
          <w:sz w:val="28"/>
          <w:szCs w:val="28"/>
        </w:rPr>
        <w:t xml:space="preserve">. </w:t>
      </w:r>
    </w:p>
    <w:p w14:paraId="65E75457" w14:textId="6B8CB371"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При анализе данных когорты из более чем 200 тыс. человек было показано, что сон менее 6 и более 9 часов является фактором риска сахарного диабета, инсульта, артериальной гипертензии и</w:t>
      </w:r>
      <w:r w:rsidR="0040337B" w:rsidRPr="004F5888">
        <w:rPr>
          <w:rFonts w:ascii="Times New Roman" w:hAnsi="Times New Roman" w:cs="Times New Roman"/>
          <w:sz w:val="28"/>
          <w:szCs w:val="28"/>
        </w:rPr>
        <w:t xml:space="preserve"> ишемической болезни сердца</w:t>
      </w:r>
      <w:r w:rsidRPr="004F5888">
        <w:rPr>
          <w:rFonts w:ascii="Times New Roman" w:hAnsi="Times New Roman" w:cs="Times New Roman"/>
          <w:sz w:val="28"/>
          <w:szCs w:val="28"/>
        </w:rPr>
        <w:t>. Негативное влияние нарушений сна на когнитивные функции касается все аспектов этой патологии. Метаанализ обсервационных исследований, опубликованных в PubMed, EMBASE, включивший 53 942 участника (средний возраст 66,9 года), показал, что при большей продолжительности сна относительный риск когнитивного снижения составлял 1,42 (95% ДИ 1,27–1,59) (для УКР 1,38 (95% ДИ 1,23–1,56) и для деменции 1,42 (95% ДИ 1,15–1,77)) [49]. Изменение структуры ночного сна также имеет большое значение. В рамках Фрамингемского исследования были прослежены ассоциации между структурой сна и предполагаем</w:t>
      </w:r>
      <w:r w:rsidR="0040337B" w:rsidRPr="004F5888">
        <w:rPr>
          <w:rFonts w:ascii="Times New Roman" w:hAnsi="Times New Roman" w:cs="Times New Roman"/>
          <w:sz w:val="28"/>
          <w:szCs w:val="28"/>
        </w:rPr>
        <w:t xml:space="preserve">ым риском развития деменции </w:t>
      </w:r>
      <w:r w:rsidRPr="004F5888">
        <w:rPr>
          <w:rFonts w:ascii="Times New Roman" w:hAnsi="Times New Roman" w:cs="Times New Roman"/>
          <w:sz w:val="28"/>
          <w:szCs w:val="28"/>
        </w:rPr>
        <w:t xml:space="preserve">. </w:t>
      </w:r>
    </w:p>
    <w:p w14:paraId="769B8C3B" w14:textId="74DC130A"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Была обследована подгруппа из 321 участника, которые участвовали в the Sleep Heart Health Study в период с 1995 по 1998 г. и были старше 60 лет во время оценки сна (средний возраст 67 ± 5 лет, 50% мужчин). Обследование сна выполнялось с использованием домашней полисомнографии. Участников наблюдали в течение 19 лет (среднее наблюдение 12 ± 5 лет). После корректировки по возрасту и полу более низкий процент REM-сна и более длительная латентность REM-сна были связаны с более высоким риском развития деменции. Каждое процентное снижение REM-сна было связано с приблизительно 9%-ным увеличением риска развития деменции (коэффициент риска 0,91, 95% CI 0,86, 0,97). Это может быть основанием для рассмотрения состояния REM-сна как предиктора клинической деменции. Нарушения сна приводят к изменению обмена амилоида, препятствуя клиренсу Aβ, увеличивая синаптическую активность и способствуя накоплению Aβ, а также ухудшая реакцию эндоплазматического ретикулума на клеточный стресс,</w:t>
      </w:r>
      <w:r w:rsidR="0040337B" w:rsidRPr="004F5888">
        <w:rPr>
          <w:rFonts w:ascii="Times New Roman" w:hAnsi="Times New Roman" w:cs="Times New Roman"/>
          <w:sz w:val="28"/>
          <w:szCs w:val="28"/>
        </w:rPr>
        <w:t xml:space="preserve"> приводящий к накоплению Aβ</w:t>
      </w:r>
      <w:r w:rsidRPr="004F5888">
        <w:rPr>
          <w:rFonts w:ascii="Times New Roman" w:hAnsi="Times New Roman" w:cs="Times New Roman"/>
          <w:sz w:val="28"/>
          <w:szCs w:val="28"/>
        </w:rPr>
        <w:t xml:space="preserve">. </w:t>
      </w:r>
    </w:p>
    <w:p w14:paraId="485FB296" w14:textId="6AF8C892"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Следует помнить, что нарушения сна являются проявлением дисбаланса в системе гипокретинов, которые могут играть определенную роль в регуляции уровня Aβ. Вероятно, именно с этими механизмами связано то, что нарушения сна </w:t>
      </w:r>
      <w:r w:rsidRPr="004F5888">
        <w:rPr>
          <w:rFonts w:ascii="Times New Roman" w:hAnsi="Times New Roman" w:cs="Times New Roman"/>
          <w:sz w:val="28"/>
          <w:szCs w:val="28"/>
        </w:rPr>
        <w:lastRenderedPageBreak/>
        <w:t>рассматриваются в основном как предикторы развития БА, но не сосудистой деменции. Это было показано в систематическом обзоре Shi L. и соавт., основанном на анали</w:t>
      </w:r>
      <w:r w:rsidR="0040337B" w:rsidRPr="004F5888">
        <w:rPr>
          <w:rFonts w:ascii="Times New Roman" w:hAnsi="Times New Roman" w:cs="Times New Roman"/>
          <w:sz w:val="28"/>
          <w:szCs w:val="28"/>
        </w:rPr>
        <w:t xml:space="preserve">зе данных 246 786 пациентов </w:t>
      </w:r>
      <w:r w:rsidRPr="004F5888">
        <w:rPr>
          <w:rFonts w:ascii="Times New Roman" w:hAnsi="Times New Roman" w:cs="Times New Roman"/>
          <w:sz w:val="28"/>
          <w:szCs w:val="28"/>
        </w:rPr>
        <w:t>. Результаты крупного метаанализа, включавшего 27 обсервационных исследований и 69 216 наблюдений, продемонстрировали, что относительный риск развития БА у лиц с нарушениями сна увеличивался в 1,55 раза. Считается, что около 15% случаев БА в популяции могут быть связаны с расстройств</w:t>
      </w:r>
      <w:r w:rsidR="0040337B" w:rsidRPr="004F5888">
        <w:rPr>
          <w:rFonts w:ascii="Times New Roman" w:hAnsi="Times New Roman" w:cs="Times New Roman"/>
          <w:sz w:val="28"/>
          <w:szCs w:val="28"/>
        </w:rPr>
        <w:t>ами сна</w:t>
      </w:r>
      <w:r w:rsidRPr="004F5888">
        <w:rPr>
          <w:rFonts w:ascii="Times New Roman" w:hAnsi="Times New Roman" w:cs="Times New Roman"/>
          <w:sz w:val="28"/>
          <w:szCs w:val="28"/>
        </w:rPr>
        <w:t>.</w:t>
      </w:r>
    </w:p>
    <w:p w14:paraId="196EF55D" w14:textId="423FD396" w:rsidR="00A00CBC" w:rsidRPr="004F5888" w:rsidRDefault="00A00CBC" w:rsidP="004F5888">
      <w:pPr>
        <w:spacing w:after="0" w:line="240" w:lineRule="auto"/>
        <w:ind w:firstLine="709"/>
        <w:jc w:val="both"/>
        <w:rPr>
          <w:rFonts w:ascii="Times New Roman" w:hAnsi="Times New Roman" w:cs="Times New Roman"/>
          <w:color w:val="000000" w:themeColor="text1"/>
          <w:sz w:val="28"/>
          <w:szCs w:val="28"/>
          <w:vertAlign w:val="superscript"/>
        </w:rPr>
      </w:pPr>
      <w:r w:rsidRPr="004F5888">
        <w:rPr>
          <w:rFonts w:ascii="Times New Roman" w:hAnsi="Times New Roman" w:cs="Times New Roman"/>
          <w:color w:val="000000" w:themeColor="text1"/>
          <w:sz w:val="28"/>
          <w:szCs w:val="28"/>
        </w:rPr>
        <w:t>В одном из новых исследований Самарского гериа</w:t>
      </w:r>
      <w:r w:rsidR="0040337B" w:rsidRPr="004F5888">
        <w:rPr>
          <w:rFonts w:ascii="Times New Roman" w:hAnsi="Times New Roman" w:cs="Times New Roman"/>
          <w:color w:val="000000" w:themeColor="text1"/>
          <w:sz w:val="28"/>
          <w:szCs w:val="28"/>
        </w:rPr>
        <w:t>трического центра было выявлено</w:t>
      </w:r>
      <w:r w:rsidRPr="004F5888">
        <w:rPr>
          <w:rFonts w:ascii="Times New Roman" w:hAnsi="Times New Roman" w:cs="Times New Roman"/>
          <w:color w:val="000000" w:themeColor="text1"/>
          <w:sz w:val="28"/>
          <w:szCs w:val="28"/>
        </w:rPr>
        <w:t>, что лишение сна приводит к развитию БА</w:t>
      </w:r>
      <w:r w:rsidR="0040337B" w:rsidRPr="004F5888">
        <w:rPr>
          <w:rFonts w:ascii="Times New Roman" w:hAnsi="Times New Roman" w:cs="Times New Roman"/>
          <w:color w:val="000000" w:themeColor="text1"/>
          <w:sz w:val="28"/>
          <w:szCs w:val="28"/>
          <w:vertAlign w:val="superscript"/>
        </w:rPr>
        <w:t>11</w:t>
      </w:r>
    </w:p>
    <w:p w14:paraId="1A5307C6" w14:textId="77777777" w:rsidR="00E7415B" w:rsidRPr="004F5888" w:rsidRDefault="00E7415B" w:rsidP="004F5888">
      <w:pPr>
        <w:spacing w:after="0" w:line="240" w:lineRule="auto"/>
        <w:ind w:firstLine="708"/>
        <w:jc w:val="both"/>
        <w:rPr>
          <w:rFonts w:ascii="Times New Roman" w:hAnsi="Times New Roman" w:cs="Times New Roman"/>
          <w:b/>
          <w:sz w:val="28"/>
          <w:szCs w:val="28"/>
        </w:rPr>
      </w:pPr>
      <w:r w:rsidRPr="004F5888">
        <w:rPr>
          <w:rFonts w:ascii="Times New Roman" w:hAnsi="Times New Roman" w:cs="Times New Roman"/>
          <w:b/>
          <w:sz w:val="28"/>
          <w:szCs w:val="28"/>
        </w:rPr>
        <w:t>1.1.3 Пол и возраст</w:t>
      </w:r>
    </w:p>
    <w:p w14:paraId="7E5E0441"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color w:val="000000"/>
          <w:sz w:val="28"/>
          <w:szCs w:val="28"/>
          <w:shd w:val="clear" w:color="auto" w:fill="FFFFFF"/>
        </w:rPr>
        <w:t xml:space="preserve">Междисциплинарная сеть по болезни Альцгеймера Общества по исследованию здоровья женщин, состоящая из экспертной группы ученых и клиницистов, провела обзор текущих и опубликованных исследований, связанных с половыми различиями в болезни Альцгеймера. Анализ данных показал, что болезнь Альцгеймера клинически проявляется, прогрессирует и реагирует на терапию по-разному у мужчин и женщин. В статье, опубликованной в журнале Alzheimer’s &amp; Dementia, американские ученые призвали научное сообщество обратить внимание на эту особенность, чтобы повысить эффективность лечения. О подробностях проведенного анализа </w:t>
      </w:r>
      <w:hyperlink r:id="rId15" w:history="1">
        <w:r w:rsidRPr="004F5888">
          <w:rPr>
            <w:rStyle w:val="a9"/>
            <w:rFonts w:ascii="Times New Roman" w:hAnsi="Times New Roman" w:cs="Times New Roman"/>
            <w:color w:val="000000"/>
            <w:sz w:val="28"/>
            <w:szCs w:val="28"/>
            <w:shd w:val="clear" w:color="auto" w:fill="FFFFFF"/>
          </w:rPr>
          <w:t>сообщает</w:t>
        </w:r>
      </w:hyperlink>
      <w:r w:rsidRPr="004F5888">
        <w:rPr>
          <w:rFonts w:ascii="Times New Roman" w:hAnsi="Times New Roman" w:cs="Times New Roman"/>
          <w:color w:val="000000"/>
          <w:sz w:val="28"/>
          <w:szCs w:val="28"/>
          <w:shd w:val="clear" w:color="auto" w:fill="FFFFFF"/>
        </w:rPr>
        <w:t xml:space="preserve"> журнал Scientific American.</w:t>
      </w:r>
    </w:p>
    <w:p w14:paraId="77D61CD5" w14:textId="3CBE632B"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Исследования показали, что у мужчин чаще отмечаются атипичные клинические синдромы (например, лобно-височная деменци</w:t>
      </w:r>
      <w:r w:rsidR="0040337B" w:rsidRPr="004F5888">
        <w:rPr>
          <w:rFonts w:ascii="Times New Roman" w:hAnsi="Times New Roman" w:cs="Times New Roman"/>
          <w:sz w:val="28"/>
          <w:szCs w:val="28"/>
        </w:rPr>
        <w:t>я, кортикобазальный синдром)</w:t>
      </w:r>
      <w:r w:rsidRPr="004F5888">
        <w:rPr>
          <w:rFonts w:ascii="Times New Roman" w:hAnsi="Times New Roman" w:cs="Times New Roman"/>
          <w:sz w:val="28"/>
          <w:szCs w:val="28"/>
        </w:rPr>
        <w:t>. Как и ожидалось, учитывая социальный гендерный фон, женщины имели более низкий уровень образования. У женщин также отмечались меньшая масса мозга, более старший возраст дебюта заболевания и более длительная продолжительность заболевания. Тяжесть патологии (плотность амилоидных бляшек и выраженность патологии нейрофибриллярных клубочков) была выше у женщ</w:t>
      </w:r>
      <w:r w:rsidR="0040337B" w:rsidRPr="004F5888">
        <w:rPr>
          <w:rFonts w:ascii="Times New Roman" w:hAnsi="Times New Roman" w:cs="Times New Roman"/>
          <w:sz w:val="28"/>
          <w:szCs w:val="28"/>
        </w:rPr>
        <w:t>ин, по сравнению с мужчинами</w:t>
      </w:r>
      <w:r w:rsidRPr="004F5888">
        <w:rPr>
          <w:rFonts w:ascii="Times New Roman" w:hAnsi="Times New Roman" w:cs="Times New Roman"/>
          <w:sz w:val="28"/>
          <w:szCs w:val="28"/>
        </w:rPr>
        <w:t xml:space="preserve">. </w:t>
      </w:r>
    </w:p>
    <w:p w14:paraId="6C1D14E2" w14:textId="4DC6748F"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Исследование, в котором изучалась большая группа пациентов с БА, подтвержденной патоморфологически, обнаружило, что у мужчин, при сопоставлении с женщинами, отмечалась более выраженная патология нейрофибриллярных клубочков в коре головного мозга по сравнению с гиппокампом. Напротив, у женщин отмечалась более выраженная патология нейрофибриллярных клубочков в гиппокампе</w:t>
      </w:r>
      <w:r w:rsidR="0040337B" w:rsidRPr="004F5888">
        <w:rPr>
          <w:rFonts w:ascii="Times New Roman" w:hAnsi="Times New Roman" w:cs="Times New Roman"/>
          <w:sz w:val="28"/>
          <w:szCs w:val="28"/>
        </w:rPr>
        <w:t xml:space="preserve"> по сравнению с неокортексом</w:t>
      </w:r>
      <w:r w:rsidRPr="004F5888">
        <w:rPr>
          <w:rFonts w:ascii="Times New Roman" w:hAnsi="Times New Roman" w:cs="Times New Roman"/>
          <w:sz w:val="28"/>
          <w:szCs w:val="28"/>
        </w:rPr>
        <w:t>. В ряде клинических исследований было установлено, что женщины подвержены более высокому ри</w:t>
      </w:r>
      <w:r w:rsidR="0040337B" w:rsidRPr="004F5888">
        <w:rPr>
          <w:rFonts w:ascii="Times New Roman" w:hAnsi="Times New Roman" w:cs="Times New Roman"/>
          <w:sz w:val="28"/>
          <w:szCs w:val="28"/>
        </w:rPr>
        <w:t>ску развития БА, чем мужчины</w:t>
      </w:r>
      <w:r w:rsidRPr="004F5888">
        <w:rPr>
          <w:rFonts w:ascii="Times New Roman" w:hAnsi="Times New Roman" w:cs="Times New Roman"/>
          <w:sz w:val="28"/>
          <w:szCs w:val="28"/>
        </w:rPr>
        <w:t>. Другие исследования показали, что более высокий риск развития БА более сп</w:t>
      </w:r>
      <w:r w:rsidR="0040337B" w:rsidRPr="004F5888">
        <w:rPr>
          <w:rFonts w:ascii="Times New Roman" w:hAnsi="Times New Roman" w:cs="Times New Roman"/>
          <w:sz w:val="28"/>
          <w:szCs w:val="28"/>
        </w:rPr>
        <w:t>ецифичен для пожилых женщин</w:t>
      </w:r>
      <w:r w:rsidRPr="004F5888">
        <w:rPr>
          <w:rFonts w:ascii="Times New Roman" w:hAnsi="Times New Roman" w:cs="Times New Roman"/>
          <w:sz w:val="28"/>
          <w:szCs w:val="28"/>
        </w:rPr>
        <w:t>. Предполагается, что женщинам чаще ставится правильный диагноз деменции при БА, потому что патоморфологические изменения, характерные для БА, чаще встречаются у женщин, отмечается большее вовлечение гиппокампа в патологический процесс по сравнению с неокортексом, что приводит к развитию амне</w:t>
      </w:r>
      <w:r w:rsidR="0040337B" w:rsidRPr="004F5888">
        <w:rPr>
          <w:rFonts w:ascii="Times New Roman" w:hAnsi="Times New Roman" w:cs="Times New Roman"/>
          <w:sz w:val="28"/>
          <w:szCs w:val="28"/>
        </w:rPr>
        <w:t>стического синдрома</w:t>
      </w:r>
      <w:r w:rsidRPr="004F5888">
        <w:rPr>
          <w:rFonts w:ascii="Times New Roman" w:hAnsi="Times New Roman" w:cs="Times New Roman"/>
          <w:sz w:val="28"/>
          <w:szCs w:val="28"/>
        </w:rPr>
        <w:t>.</w:t>
      </w:r>
    </w:p>
    <w:p w14:paraId="32B70588"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С 16 по 20 июля 2017 г. в Лондоне (Великобритания) проходила международная конференция, посвященная болезни Альцгеймера (БА) (Alzheimer's Association International Conference, AAIC). На этой конференции ученые заявили, что на долю БА приходится приблизительно 75% всех случаев деменции в мире, а к 2050 г. БА </w:t>
      </w:r>
      <w:r w:rsidRPr="004F5888">
        <w:rPr>
          <w:rFonts w:ascii="Times New Roman" w:hAnsi="Times New Roman" w:cs="Times New Roman"/>
          <w:sz w:val="28"/>
          <w:szCs w:val="28"/>
        </w:rPr>
        <w:lastRenderedPageBreak/>
        <w:t>будет диагностирована у 115,4 млн человек. По данным доклада, опубликованного в журнале Lancet, в настоящее время число таких больных оценивается в 47 млн [1]. Согласно эпидемиологическим данным, представленным исследователями из Университета Хопкинса (США), выделяют три формы БА в зависимости от возраста дебюта: с поздним началом (у пациентов старше 85 лет), типичным дебютом (65–80 лет) и ранним дебютом (60 лет и менее)</w:t>
      </w:r>
    </w:p>
    <w:p w14:paraId="325C0DBF" w14:textId="77777777" w:rsidR="00E7415B" w:rsidRPr="004F5888" w:rsidRDefault="00E7415B" w:rsidP="004F5888">
      <w:pPr>
        <w:spacing w:after="0" w:line="240" w:lineRule="auto"/>
        <w:ind w:firstLine="709"/>
        <w:jc w:val="both"/>
        <w:rPr>
          <w:rFonts w:ascii="Times New Roman" w:hAnsi="Times New Roman" w:cs="Times New Roman"/>
          <w:sz w:val="28"/>
          <w:szCs w:val="28"/>
          <w:shd w:val="clear" w:color="auto" w:fill="FFFFFF"/>
        </w:rPr>
      </w:pPr>
      <w:r w:rsidRPr="004F5888">
        <w:rPr>
          <w:rFonts w:ascii="Times New Roman" w:hAnsi="Times New Roman" w:cs="Times New Roman"/>
          <w:sz w:val="28"/>
          <w:szCs w:val="28"/>
          <w:shd w:val="clear" w:color="auto" w:fill="FFFFFF"/>
        </w:rPr>
        <w:t>Для изучения распространенности в позднем возрасте различных форм психической патологии вообще, и болезни Альцгеймера в частности, а также влияния на показатели болезненности биологических, конституционально-личностных и социально-психологических (средовых) факторов, в НЦПЗ РАМН в 1992-1995 гг. было проведено сплошное клинико-эпидемиологическое изучение населения пожилого возраста, проживающего на ограниченной территории одного из районов Москвы. Общая характеристика обследованной пожилой популяции, методология и стратегия исследования приведены нами в предыдущей публикации (Калын Я. Б., Гаврилова С. И., 1997).</w:t>
      </w:r>
    </w:p>
    <w:p w14:paraId="10881BFA"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Как показали результаты проведенного популяционного исследования, среди различных причин деменций в пожилом возрасте преобладает болезнь Альцгеймера с поздним началом (сенильная деменция альцгеймеровского типа — С ДАТ). На долю СДАТ приходится почти половина случаев деменций в пожилом возрасте. СДАТ диагностирована у 50 пожилых лиц, т. е. у 4,5 % обследованной популяции. При этом у 30 человек (2,7 %) установлена мягкая деменция и у 20 человек (1,8 %) — клинически выраженная СДАТ. Из 20 больных с клинически выраженной деменцией у 17(1,5 %) установлена умеренно выраженная и у 3 (0,3 %) — тяжелая деменция.</w:t>
      </w:r>
    </w:p>
    <w:p w14:paraId="50A5F327"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В обследованной популяции наиболее часто встречались больные с простой формой СДАТ — 11 человек, т. е. 55,0 % больных с клинически выраженной стадией заболевания. У 5 больных (25,0 %) диагностирована СДАТ с «альцгеймеризацией». Психотическая форма заболевания диагностирована у 3 человек (15,0 %), а параноическая форма болезни Альцгеймера с поздним началом обнаружена у 1 человека (5,0 %). Популяционные данные об удельном весе различных клинических форм в общей структуре болезни Альцгеймера сенильного типа существенно отличаются от показателей распространенности этих же клинических форм среди стационированных в психиатрическую больницу больных (Калын Я. Б., 1990). В изученной нами популяции обнаружено существенное преобладание форм заболевания с более поздним началом (простая и с «альцгеймеризацией»), на долю которых приходится 80,0 % клинически выраженной болезни Альцгеймера с поздним началом. Формы СДАТ с относительно более ранним началом (пресбиофренная и параноическая) в обследованном населении встречались существенно реже. Однако отмеченные различия скорее всего обусловлены особенностями поведенческих расстройств при этих формах заболевания.</w:t>
      </w:r>
    </w:p>
    <w:p w14:paraId="096DF4E4"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Из множества изученных факторов, предположительно влияющих на показатели популяционной частоты болезни Альцгеймера (БА/ДАТ), наибольшее внимание уделялось роли пола и возраста (Jablensky А., 1994; Ott A. et al., 1995; YoshitakeT. Et al., 1995).</w:t>
      </w:r>
    </w:p>
    <w:p w14:paraId="5A587A83"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lastRenderedPageBreak/>
        <w:t>Данные проведенного эпидемиологического исследования свидетельствуют о том, что популяционная частота БА/ДАТ неуклонно растет по мере увеличения возраста и составляет соответственно 0,7 %, 4,6 %, 16,5 % и 18,2 % в возрастных группах 60-69, 70-79, 80-89 и 90 и более лет.</w:t>
      </w:r>
    </w:p>
    <w:p w14:paraId="0F60C976"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Тенденция к росту распространенности БА/ДАТ по мере старения характерна как для клинически выраженных, так и для мягких форм заболевания. Частота мягких форм болезни Альцгеймера в возрастных группах 60-69, 70-79, 80-89 и 90 и старше лет составляет соответственно 0,5, 3,1, 8,9 и 9,1 %. Распространенность клинически выраженных форм БА/ДАТ, т. е. умеренно выраженной и тяжелой деменций, в возрастной группе 60-69 лет составляет 0,2 %, в 70-79 лет -1,5 % и в возрасте 80-89 лет достигает 7,6 %. В самой старшей возрастной группе 90 и более лет распространенность клинически выраженной БА/ДАТ составила 9,1 %.</w:t>
      </w:r>
    </w:p>
    <w:p w14:paraId="0F1D6D7E"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Проведенный анализ свидетельствует, что среди всех выявленных в населении больных БА/ДАТ доля лиц в возрасте 80 — 89 лет составила 52,0 %, тогда как для всей обследованной популяции этот показатель меньше более чем </w:t>
      </w:r>
      <w:r w:rsidRPr="004F5888">
        <w:rPr>
          <w:rFonts w:ascii="Times New Roman" w:eastAsia="Times New Roman" w:hAnsi="Times New Roman" w:cs="Times New Roman"/>
          <w:sz w:val="28"/>
          <w:szCs w:val="28"/>
          <w:vertAlign w:val="superscript"/>
          <w:lang w:eastAsia="ru-RU"/>
        </w:rPr>
        <w:t>в</w:t>
      </w:r>
      <w:r w:rsidRPr="004F5888">
        <w:rPr>
          <w:rFonts w:ascii="Times New Roman" w:eastAsia="Times New Roman" w:hAnsi="Times New Roman" w:cs="Times New Roman"/>
          <w:sz w:val="28"/>
          <w:szCs w:val="28"/>
          <w:lang w:eastAsia="ru-RU"/>
        </w:rPr>
        <w:t> 3,5 раза и равен 14,2 % (р&lt;0,005). Еще меньше доля лиц аналогичного возраста в группе пожилых людей без психических нарушений — 7,2 %. То есть 80-89-летний возрастной период можно рассматривать как возраст наибольшей подверженности сенильному типу БА/ДАТ.</w:t>
      </w:r>
    </w:p>
    <w:p w14:paraId="76FE2208"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Некоторое снижение показателей частоты БА/ДАТ в возрастной группе 90 лет и старше может быть связано с относительно небольшой долей долгожителей в обследованной нами популяции. Вместе с тем, известны данные о более высокой смертности больных с болезнью Альцгеймера по сравнению с общей популяцией соответствующего возраста. Также можно предположить, что видовые пределы продолжительности жизни человека зачастую не оставляют времени на развитие болезни после 90-летнего возраста. Основываясь на таких предположениях, можно было бы ожидать существенного снижения доли долгожителей среди больных болезнью Альцгеймера, по сравнению с пожилыми людьми без психических расстройств. Однако результаты исследования свидетельствуют, что доля долгожителей среди выявленных больных БА/ДАТ и среди психически здоровых лиц того же возраста вполне сопоставима: 2,0 % и 2,2 %, соответственно (р&gt;0,05). Поэтому можно предположить, что после 90 лет риск развития болезни Альцгеймера снижается по сравнению с предыдущим десятилетием, хотя это предположение требует уточнения.</w:t>
      </w:r>
    </w:p>
    <w:p w14:paraId="0E6C9401"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 xml:space="preserve">В современной специальной литературе много внимания уделяется роли пола в развитии психической патологии вообще, и болезни Альцгеймера, в частности. Преобладает мнение, что риск развития болезни Альцгеймера у женщин выше, чем у мужчин (Bettini R. et al., 1992; Jablensky A., 1994; Ott A. et al., 1995). Результаты нашего исследования свидетельствуют о более частой встречаемости БА/ДАТ в женском населении старших возрастов, соответственно составляющей для женщин 5,1 % и 2,9 % для мужчин (р&lt;0,05). В женской пожилой популяции чаще встречается как мягкая ДАТ (3,1 %), так и клинически выраженная ДАТ (2,0 %). Среди мужчин соответствующего возраста частота мягко деменции составляет 1,6 %, а клинически выраженной ДАТ — 1,3 %. Однако не во всех старших возрастных периодах </w:t>
      </w:r>
      <w:r w:rsidRPr="004F5888">
        <w:rPr>
          <w:rFonts w:ascii="Times New Roman" w:eastAsia="Times New Roman" w:hAnsi="Times New Roman" w:cs="Times New Roman"/>
          <w:sz w:val="28"/>
          <w:szCs w:val="28"/>
          <w:lang w:eastAsia="ru-RU"/>
        </w:rPr>
        <w:lastRenderedPageBreak/>
        <w:t>распространенность БА/ДАТ среди женщин выше, чем среди мужчин, о чем свидетельствуют данные таблицы.</w:t>
      </w:r>
    </w:p>
    <w:p w14:paraId="7676B105"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F5888">
        <w:rPr>
          <w:rFonts w:ascii="Times New Roman" w:eastAsia="Times New Roman" w:hAnsi="Times New Roman" w:cs="Times New Roman"/>
          <w:sz w:val="28"/>
          <w:szCs w:val="28"/>
          <w:lang w:eastAsia="ru-RU"/>
        </w:rPr>
        <w:t>В возрастной группе 70 — 79 лет частота БА/ДАТ у мужчин превышает таковую для женского населения, хотя различия статистически недостоверны (р&gt;0,05). Результаты проведенного исследования свидетельствуют о том, что лишь в возрасте 80-89 лет частота БА/ДАТ среди женщин достоверно выше (р&lt;0,05), чем у мужчин аналогичного возраста. Дать аргументированное объяснение этому феномену сложно. Возможно, значительная часть мужчин, у которых могла бы развиться болезнь Альцгеймера, умирает еще до достижения возраста риска для развития этого заболевания.</w:t>
      </w:r>
    </w:p>
    <w:p w14:paraId="4271F1AC"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color w:val="777777"/>
          <w:sz w:val="28"/>
          <w:szCs w:val="28"/>
          <w:lang w:eastAsia="ru-RU"/>
        </w:rPr>
      </w:pPr>
      <w:r w:rsidRPr="004F5888">
        <w:rPr>
          <w:rFonts w:ascii="Times New Roman" w:eastAsia="Times New Roman" w:hAnsi="Times New Roman" w:cs="Times New Roman"/>
          <w:color w:val="000000"/>
          <w:sz w:val="28"/>
          <w:szCs w:val="28"/>
          <w:lang w:eastAsia="ru-RU"/>
        </w:rPr>
        <w:t>Полученные результаты выполненных исследований подтверждают основной вывод многих популяционных эпидемиологических исследований, и в том числе реаналитического коллаборативного исследования частоты БА в странах ЕЭС (Rocca W. et al., 1991), об экспоненциальном росте показателей болезненности как женского, так и мужского населения по мере увеличения возраста. Показатели болезненности БА/ДАТ, по данным обследования российской популяции, несколько превышают аналогичные общеевропейские показатели, что может быть обусловлено как методологическими особенностями исследований, так и социопсихологическими факторами, присущими современной России. В отличие от большинства европейских исследований, где первичный скрининг больных БА проводился при помощи шкал без участия психиатра, в отечественном исследовании первичный осмотр проводился специалистом-геронтопсихиатром, что существенно повышало выявляемость психических расстройств. Однако нельзя исключить, что глобальная стрессогенность современной ситуации в России могла повлиять на устойчивость части обследованного населения к воздействию неблагоприятных средовых факторов, которые считаются характерными для периода старения. Это в свою очередь могло способствовать экзацербации некоторых форм эндогенной и органической церебральной патологии, и в частности, мягкой формы БА.</w:t>
      </w:r>
    </w:p>
    <w:p w14:paraId="285119D8"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color w:val="777777"/>
          <w:sz w:val="28"/>
          <w:szCs w:val="28"/>
          <w:lang w:eastAsia="ru-RU"/>
        </w:rPr>
      </w:pPr>
      <w:r w:rsidRPr="004F5888">
        <w:rPr>
          <w:rFonts w:ascii="Times New Roman" w:eastAsia="Times New Roman" w:hAnsi="Times New Roman" w:cs="Times New Roman"/>
          <w:color w:val="000000"/>
          <w:sz w:val="28"/>
          <w:szCs w:val="28"/>
          <w:lang w:eastAsia="ru-RU"/>
        </w:rPr>
        <w:t>Во многих исследованиях, и в том числе реаналитических (Bachman D. et al., 1992; Hafner H., 1990), было установлено, что показатели распространенности БА/ДАТ среди женщин выше, чем среди мужчин того же возраста. Вместе с тем, некоторые исследователи (Fratiglioni L., 1993) не обнаружили существенных различий в распространенности БА/ДАТ среди обоих полов в возрастных группах 75-79 и 80-84 лет, и только в более позднем возрасте частота заболевания достоверно выше у женщин, чем у мужчин.</w:t>
      </w:r>
    </w:p>
    <w:p w14:paraId="4A593C73" w14:textId="77777777"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color w:val="777777"/>
          <w:sz w:val="28"/>
          <w:szCs w:val="28"/>
          <w:lang w:eastAsia="ru-RU"/>
        </w:rPr>
      </w:pPr>
      <w:r w:rsidRPr="004F5888">
        <w:rPr>
          <w:rFonts w:ascii="Times New Roman" w:eastAsia="Times New Roman" w:hAnsi="Times New Roman" w:cs="Times New Roman"/>
          <w:color w:val="000000"/>
          <w:sz w:val="28"/>
          <w:szCs w:val="28"/>
          <w:lang w:eastAsia="ru-RU"/>
        </w:rPr>
        <w:t xml:space="preserve">Некоторыми исследователями было высказано предположение, что низкий уровень образования не только влияет на выявляемость деменции, но и обусловливает предрасположенность к развитию слабоумия. По мнению R. Katzman (1993), интеллектуальная активность, особенно в раннем возрасте, приводит к образованию дополнительных связей между нейронами (спрутингу), что в дальнейшем может быть препятствием для развития БА/ДАТ. По нашему мнению, влияние уровня образования на популяционные показатели опосредовано также многими другими факторами, производными от уровня </w:t>
      </w:r>
      <w:r w:rsidRPr="004F5888">
        <w:rPr>
          <w:rFonts w:ascii="Times New Roman" w:eastAsia="Times New Roman" w:hAnsi="Times New Roman" w:cs="Times New Roman"/>
          <w:color w:val="000000"/>
          <w:sz w:val="28"/>
          <w:szCs w:val="28"/>
          <w:lang w:eastAsia="ru-RU"/>
        </w:rPr>
        <w:lastRenderedPageBreak/>
        <w:t>образования, такими как профессионально-производственные условия, материально-бытовые условия, образ жизни и т. п.</w:t>
      </w:r>
    </w:p>
    <w:p w14:paraId="5C70DE78" w14:textId="3F16A4F2" w:rsidR="00E7415B" w:rsidRPr="004F5888" w:rsidRDefault="00E7415B" w:rsidP="004F5888">
      <w:pPr>
        <w:shd w:val="clear" w:color="auto" w:fill="FFFFFF"/>
        <w:spacing w:after="0" w:line="240" w:lineRule="auto"/>
        <w:ind w:firstLine="709"/>
        <w:jc w:val="both"/>
        <w:rPr>
          <w:rFonts w:ascii="Times New Roman" w:eastAsia="Times New Roman" w:hAnsi="Times New Roman" w:cs="Times New Roman"/>
          <w:color w:val="000000"/>
          <w:sz w:val="28"/>
          <w:szCs w:val="28"/>
          <w:vertAlign w:val="superscript"/>
          <w:lang w:eastAsia="ru-RU"/>
        </w:rPr>
      </w:pPr>
      <w:r w:rsidRPr="004F5888">
        <w:rPr>
          <w:rFonts w:ascii="Times New Roman" w:eastAsia="Times New Roman" w:hAnsi="Times New Roman" w:cs="Times New Roman"/>
          <w:color w:val="000000"/>
          <w:sz w:val="28"/>
          <w:szCs w:val="28"/>
          <w:lang w:eastAsia="ru-RU"/>
        </w:rPr>
        <w:t>Данные о том, что в жизни больных БА/ДАТ неблагоприятные жизненные события встречаются достоверно чаще, нежели у здоровых лиц того же возраста, были подтверждены и в некоторых зарубежных эпидемиологических исследованиях (Bidzan L., 1994). Возможно, такой распространенный фактор, как вдовство в пожилом возрасте является серьезным как психотравмирующим, так и нарушающим жизненный стереотип фактором.</w:t>
      </w:r>
      <w:r w:rsidR="0040337B" w:rsidRPr="004F5888">
        <w:rPr>
          <w:rFonts w:ascii="Times New Roman" w:eastAsia="Times New Roman" w:hAnsi="Times New Roman" w:cs="Times New Roman"/>
          <w:color w:val="000000"/>
          <w:sz w:val="28"/>
          <w:szCs w:val="28"/>
          <w:vertAlign w:val="superscript"/>
          <w:lang w:eastAsia="ru-RU"/>
        </w:rPr>
        <w:t>12</w:t>
      </w:r>
    </w:p>
    <w:p w14:paraId="628606A5" w14:textId="77777777" w:rsidR="00F46488" w:rsidRPr="004F5888" w:rsidRDefault="00F46488" w:rsidP="004F5888">
      <w:pPr>
        <w:spacing w:after="0" w:line="240" w:lineRule="auto"/>
        <w:ind w:firstLine="567"/>
        <w:jc w:val="both"/>
        <w:rPr>
          <w:rFonts w:ascii="Times New Roman" w:hAnsi="Times New Roman" w:cs="Times New Roman"/>
          <w:sz w:val="28"/>
          <w:szCs w:val="28"/>
          <w:vertAlign w:val="superscript"/>
        </w:rPr>
      </w:pPr>
      <w:r w:rsidRPr="004F5888">
        <w:rPr>
          <w:rFonts w:ascii="Times New Roman" w:hAnsi="Times New Roman" w:cs="Times New Roman"/>
          <w:color w:val="323232"/>
          <w:sz w:val="28"/>
          <w:szCs w:val="28"/>
        </w:rPr>
        <w:t>Среди факторов риска, влияющих как на женщин, так и на мужчин, некоторые чаще встречаются у представителей одного пола. Например, депрессия и апноэ во сне являются факторами риска развития деменции, но депрессия в два раза чаще встречается у женщин, а апноэ во сне в три раза чаще у мужчин. Точно так же низкий уровень образования или трудоустройства являются факторами риска болезни Альцгеймера, но традиционно женщины не имели такого же доступа к образованию и возможностям трудоустройства, как мужчины, что подвергало их повышенному риску.</w:t>
      </w:r>
    </w:p>
    <w:p w14:paraId="4AB9D6E9" w14:textId="46432389" w:rsidR="00F46488" w:rsidRPr="004F5888" w:rsidRDefault="00F46488" w:rsidP="004F5888">
      <w:pPr>
        <w:pStyle w:val="aa"/>
        <w:shd w:val="clear" w:color="auto" w:fill="FFFFFF"/>
        <w:spacing w:before="0" w:beforeAutospacing="0" w:after="0" w:afterAutospacing="0"/>
        <w:textAlignment w:val="baseline"/>
        <w:rPr>
          <w:color w:val="323232"/>
          <w:sz w:val="28"/>
          <w:szCs w:val="28"/>
        </w:rPr>
      </w:pPr>
      <w:r w:rsidRPr="004F5888">
        <w:rPr>
          <w:color w:val="323232"/>
          <w:sz w:val="28"/>
          <w:szCs w:val="28"/>
        </w:rPr>
        <w:t>Некоторые факторы риска сильнее действуют на один пол, но не могут быть изменены. Аллель ε4 гена </w:t>
      </w:r>
      <w:r w:rsidRPr="004F5888">
        <w:rPr>
          <w:rStyle w:val="ae"/>
          <w:color w:val="323232"/>
          <w:sz w:val="28"/>
          <w:szCs w:val="28"/>
          <w:bdr w:val="none" w:sz="0" w:space="0" w:color="auto" w:frame="1"/>
        </w:rPr>
        <w:t>APOE</w:t>
      </w:r>
      <w:r w:rsidRPr="004F5888">
        <w:rPr>
          <w:color w:val="323232"/>
          <w:sz w:val="28"/>
          <w:szCs w:val="28"/>
        </w:rPr>
        <w:t> является самым сильным и наиболее распространенным генетическим фактором риска болезни Альцгеймера как у женщин, так и у мужчин. Однако женщины с </w:t>
      </w:r>
      <w:r w:rsidRPr="004F5888">
        <w:rPr>
          <w:rStyle w:val="ae"/>
          <w:color w:val="323232"/>
          <w:sz w:val="28"/>
          <w:szCs w:val="28"/>
          <w:bdr w:val="none" w:sz="0" w:space="0" w:color="auto" w:frame="1"/>
        </w:rPr>
        <w:t>APOE</w:t>
      </w:r>
      <w:r w:rsidRPr="004F5888">
        <w:rPr>
          <w:color w:val="323232"/>
          <w:sz w:val="28"/>
          <w:szCs w:val="28"/>
        </w:rPr>
        <w:t> ε4 имеют повышенный риск развития болезни Альцгеймера по сравнению с женщинами без </w:t>
      </w:r>
      <w:r w:rsidRPr="004F5888">
        <w:rPr>
          <w:rStyle w:val="ae"/>
          <w:color w:val="323232"/>
          <w:sz w:val="28"/>
          <w:szCs w:val="28"/>
          <w:bdr w:val="none" w:sz="0" w:space="0" w:color="auto" w:frame="1"/>
        </w:rPr>
        <w:t>APOE</w:t>
      </w:r>
      <w:r w:rsidRPr="004F5888">
        <w:rPr>
          <w:color w:val="323232"/>
          <w:sz w:val="28"/>
          <w:szCs w:val="28"/>
        </w:rPr>
        <w:t> ε4 и мужчинами с </w:t>
      </w:r>
      <w:r w:rsidRPr="004F5888">
        <w:rPr>
          <w:rStyle w:val="ae"/>
          <w:color w:val="323232"/>
          <w:sz w:val="28"/>
          <w:szCs w:val="28"/>
          <w:bdr w:val="none" w:sz="0" w:space="0" w:color="auto" w:frame="1"/>
        </w:rPr>
        <w:t>APOE</w:t>
      </w:r>
      <w:r w:rsidRPr="004F5888">
        <w:rPr>
          <w:color w:val="323232"/>
          <w:sz w:val="28"/>
          <w:szCs w:val="28"/>
        </w:rPr>
        <w:t> ε4 и без него.</w:t>
      </w:r>
    </w:p>
    <w:p w14:paraId="567682DB" w14:textId="77777777" w:rsidR="00F46488" w:rsidRPr="004F5888" w:rsidRDefault="00F46488" w:rsidP="004F5888">
      <w:pPr>
        <w:pStyle w:val="aa"/>
        <w:shd w:val="clear" w:color="auto" w:fill="FFFFFF"/>
        <w:spacing w:before="450" w:beforeAutospacing="0" w:after="0" w:afterAutospacing="0"/>
        <w:textAlignment w:val="baseline"/>
        <w:rPr>
          <w:color w:val="323232"/>
          <w:sz w:val="28"/>
          <w:szCs w:val="28"/>
        </w:rPr>
      </w:pPr>
      <w:r w:rsidRPr="004F5888">
        <w:rPr>
          <w:color w:val="323232"/>
          <w:sz w:val="28"/>
          <w:szCs w:val="28"/>
        </w:rPr>
        <w:t>Сердечно-сосудистые заболевания и проблемы с обменом веществ, такие как диабет 2 типа и ожирение, также являются факторами, повышающими риск болезни Альцгеймера, но мы еще не знаем, существуют ли различия в риске этих факторов между женщинами и мужчинами. Однако, поскольку мы знаем, что существуют половые различия в развитии, прогрессировании и лечении сердечно-сосудистых заболеваний, важно, чтобы мы рассмотрели взаимосвязь между полом и сердечно-сосудистыми и метаболическими факторами риска болезни Альцгеймера.</w:t>
      </w:r>
    </w:p>
    <w:p w14:paraId="1B870013" w14:textId="77777777" w:rsidR="00F46488" w:rsidRPr="004F5888" w:rsidRDefault="00F46488" w:rsidP="004F5888">
      <w:pPr>
        <w:pStyle w:val="aa"/>
        <w:shd w:val="clear" w:color="auto" w:fill="FFFFFF"/>
        <w:spacing w:before="450" w:beforeAutospacing="0" w:after="0" w:afterAutospacing="0"/>
        <w:textAlignment w:val="baseline"/>
        <w:rPr>
          <w:color w:val="323232"/>
          <w:sz w:val="28"/>
          <w:szCs w:val="28"/>
        </w:rPr>
      </w:pPr>
      <w:r w:rsidRPr="004F5888">
        <w:rPr>
          <w:color w:val="323232"/>
          <w:sz w:val="28"/>
          <w:szCs w:val="28"/>
        </w:rPr>
        <w:t>Важное значение имеет также изучение того, как факторы риска влияют на риск с течением времени. Например, при сердечно-сосудистых заболеваниях прием аспирина помогает снизить риск сердечного приступа и инсульта у женщин в возрасте 65 лет и старше. Этот эффект не наблюдается у молодых женщин. Вполне возможно, что определенные факторы риска болезни Альцгеймера могут быть самыми сильными в определенные моменты нашей жизни, и понимание этого является ключом к профилактике и раннему вмешательству.</w:t>
      </w:r>
    </w:p>
    <w:p w14:paraId="251A9DB0" w14:textId="4531D395" w:rsidR="00F46488" w:rsidRPr="004F5888" w:rsidRDefault="00F46488" w:rsidP="004F5888">
      <w:pPr>
        <w:pStyle w:val="aa"/>
        <w:shd w:val="clear" w:color="auto" w:fill="FFFFFF"/>
        <w:spacing w:before="450" w:beforeAutospacing="0" w:after="0" w:afterAutospacing="0"/>
        <w:textAlignment w:val="baseline"/>
        <w:rPr>
          <w:color w:val="323232"/>
          <w:sz w:val="28"/>
          <w:szCs w:val="28"/>
          <w:vertAlign w:val="superscript"/>
        </w:rPr>
      </w:pPr>
      <w:r w:rsidRPr="004F5888">
        <w:rPr>
          <w:color w:val="323232"/>
          <w:sz w:val="28"/>
          <w:szCs w:val="28"/>
        </w:rPr>
        <w:t>Определение того, как факторы риска различаются между женщинами и мужчинами, может помочь оптимизировать наше управление ими и направить исследования болезни Альцгеймера вперед.</w:t>
      </w:r>
      <w:r w:rsidRPr="004F5888">
        <w:rPr>
          <w:color w:val="323232"/>
          <w:sz w:val="28"/>
          <w:szCs w:val="28"/>
          <w:vertAlign w:val="superscript"/>
        </w:rPr>
        <w:t>15</w:t>
      </w:r>
    </w:p>
    <w:p w14:paraId="0B680C9B" w14:textId="77777777" w:rsidR="00F46488" w:rsidRPr="004F5888" w:rsidRDefault="00F46488" w:rsidP="004F5888">
      <w:pPr>
        <w:shd w:val="clear" w:color="auto" w:fill="FFFFFF"/>
        <w:spacing w:before="300" w:after="0" w:line="240" w:lineRule="auto"/>
        <w:ind w:firstLine="567"/>
        <w:jc w:val="both"/>
        <w:rPr>
          <w:rFonts w:ascii="Times New Roman" w:eastAsia="Times New Roman" w:hAnsi="Times New Roman" w:cs="Times New Roman"/>
          <w:color w:val="000000"/>
          <w:sz w:val="28"/>
          <w:szCs w:val="28"/>
          <w:vertAlign w:val="superscript"/>
          <w:lang w:eastAsia="ru-RU"/>
        </w:rPr>
      </w:pPr>
      <w:r w:rsidRPr="004F5888">
        <w:rPr>
          <w:rFonts w:ascii="Times New Roman" w:hAnsi="Times New Roman" w:cs="Times New Roman"/>
          <w:color w:val="000000" w:themeColor="text1"/>
          <w:sz w:val="28"/>
          <w:szCs w:val="28"/>
        </w:rPr>
        <w:lastRenderedPageBreak/>
        <w:t xml:space="preserve">В  одном из исследований было доказано, что </w:t>
      </w:r>
      <w:r w:rsidRPr="004F5888">
        <w:rPr>
          <w:rFonts w:ascii="Times New Roman" w:eastAsia="Times New Roman" w:hAnsi="Times New Roman" w:cs="Times New Roman"/>
          <w:color w:val="000000" w:themeColor="text1"/>
          <w:sz w:val="28"/>
          <w:szCs w:val="28"/>
          <w:lang w:eastAsia="ru-RU"/>
        </w:rPr>
        <w:t>Гормоны играют ключевую роль в формировании половых различий мозга. Яичники – основной источник эстрогенов для женщин на этапе пременопаузы. Их хирургическое  удаление в это время ученые связывают с повышенным риском возникновения деменции. Избежать проблемы после хирургического вмешательства можно назначением эстрогенотерапии вплоть до 50-летнего возраста. Такой подход доказывает важную защитную роль гормонов для психического здоровья женщины.     Исследователи считают, что прерывание продукции у мужчин андрогенов с помощью хирургической или медикаментозной кастрации при лечении рака простаты, также повышает вероятность развития болезни Альцгеймера. Влияние на развитие заболевания половых гормонов мало изучено. Ученые считают, что необходимы дальнейшие исследования, чтобы минимизировать последствия гормонального лечения.</w:t>
      </w:r>
      <w:r w:rsidRPr="004F5888">
        <w:rPr>
          <w:rFonts w:ascii="Times New Roman" w:eastAsia="Times New Roman" w:hAnsi="Times New Roman" w:cs="Times New Roman"/>
          <w:color w:val="000000"/>
          <w:sz w:val="28"/>
          <w:szCs w:val="28"/>
          <w:lang w:eastAsia="ru-RU"/>
        </w:rPr>
        <w:t>)</w:t>
      </w:r>
      <w:r w:rsidRPr="004F5888">
        <w:rPr>
          <w:rFonts w:ascii="Times New Roman" w:eastAsia="Times New Roman" w:hAnsi="Times New Roman" w:cs="Times New Roman"/>
          <w:color w:val="000000"/>
          <w:sz w:val="28"/>
          <w:szCs w:val="28"/>
          <w:vertAlign w:val="superscript"/>
          <w:lang w:eastAsia="ru-RU"/>
        </w:rPr>
        <w:t>16</w:t>
      </w:r>
    </w:p>
    <w:p w14:paraId="57B4420A" w14:textId="760DAFEC" w:rsidR="00F46488" w:rsidRPr="004F5888" w:rsidRDefault="00F46488" w:rsidP="004F5888">
      <w:pPr>
        <w:shd w:val="clear" w:color="auto" w:fill="FFFFFF"/>
        <w:spacing w:before="300" w:after="0" w:line="240" w:lineRule="auto"/>
        <w:ind w:firstLine="567"/>
        <w:jc w:val="both"/>
        <w:rPr>
          <w:rFonts w:ascii="Times New Roman" w:eastAsia="Times New Roman" w:hAnsi="Times New Roman" w:cs="Times New Roman"/>
          <w:color w:val="000000"/>
          <w:sz w:val="28"/>
          <w:szCs w:val="28"/>
          <w:vertAlign w:val="superscript"/>
          <w:lang w:eastAsia="ru-RU"/>
        </w:rPr>
      </w:pPr>
      <w:r w:rsidRPr="004F5888">
        <w:rPr>
          <w:rFonts w:ascii="Times New Roman" w:hAnsi="Times New Roman" w:cs="Times New Roman"/>
          <w:color w:val="000000" w:themeColor="text1"/>
          <w:sz w:val="28"/>
          <w:szCs w:val="28"/>
        </w:rPr>
        <w:t xml:space="preserve">В многочисленных исследованиях и дискуссиях получены противоположные выводы о роли гормонотерапии при нейродегенеративных заболеваниях, прежде всего при болезни Альцгеймера. Ключевым положительным фактором всех исследований является возраст начала менопаузальной гормонотерапии? Две трети пациентов с болезнью Альцгеймера — это женщины. Учитывая отсутствие эффективных методов лечения этого заболевания и оценки того, что к 2050 г распространенность увеличится в три раза, усилия в области здравоохранения и общественного здравоохранения сосредоточены на первичной профилактике, включая факторы риска и профилактические стратегии, которые касаются прежде всего женщин. Среди этих факторов, значительное внимание было уделено роли гормональной терапии в менопаузе, что было связано с 29% снижением при болезни Альцгеймера в мета-анализе обсервационных исследований, но с удвоением риска всех причин деменции с эстрогеном плюс прогестин в проблеме женского здоровья и сохранением памяти и других важных когнитивных функций (рандомизированное исследование в постменопаузе о роли гормональной терапии для профилактики болезни Альцгеймера) [24]. В другом когортном исследовании сообщалось, что раннее начало гормонотерапии в период менопаузы является защитным от болезни Альцгеймера. Аналогичные результаты были получены в ходе много институционального исследования в рамках генетической эпидемиологии болезни Альцгеймера, в котором использование гормонотерапии в самых молодых возрастных категориях (50-63 года) защищало от болезни Альцгеймера, по сравнению с более старшими возрастными категориями. Трёхуровневая система сохранения здоровья: эмоционального, когнитивного, психического. Инновационные методы П4-медицины управления нейропластичностью позволяют провести своевременную профилактику факторов, снижающих нейропластичность, сохранить факторы положительного влияния на висцеральный и когнитивный мозг, а главное – своевременно применить в практическом здравоохранении комбинированные методы сохранения и развития когнитивного мозга человека, в различные возрастные периоды. В настоящее время активно применяются в системе медико-социального долговременного ухода нейрокогнитивные системы — нейрочаты — виртуальные помощники при сосудистой деменции и болезни Альцгеймера. Современный </w:t>
      </w:r>
      <w:r w:rsidRPr="004F5888">
        <w:rPr>
          <w:rFonts w:ascii="Times New Roman" w:hAnsi="Times New Roman" w:cs="Times New Roman"/>
          <w:color w:val="000000" w:themeColor="text1"/>
          <w:sz w:val="28"/>
          <w:szCs w:val="28"/>
        </w:rPr>
        <w:lastRenderedPageBreak/>
        <w:t>нейрочат поможет пожилому человеку в очень важных для него повседневных делах: -общаться и настраивать аудио и видеочаты с медицинскими работниками и членами семьи; - напомнит о приеме лекарств (медикаментозных и немедикаментозных) и запланированных встречах; - активный помощник социальному работнику в системе долговременного ухода</w:t>
      </w:r>
      <w:r w:rsidRPr="004F5888">
        <w:rPr>
          <w:rFonts w:ascii="Times New Roman" w:hAnsi="Times New Roman" w:cs="Times New Roman"/>
          <w:color w:val="000000" w:themeColor="text1"/>
          <w:sz w:val="28"/>
          <w:szCs w:val="28"/>
          <w:vertAlign w:val="superscript"/>
        </w:rPr>
        <w:t>17</w:t>
      </w:r>
    </w:p>
    <w:p w14:paraId="0AEC38A3" w14:textId="07CD0CA6" w:rsidR="00F46488" w:rsidRPr="004F5888" w:rsidRDefault="00F46488"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Актуальность многочисленных исследований и многообещающая стратегия для того чтобы задержать и возможно предотвратить болезнь Альцгеймера должна определить связанные с возрастом изменения которые воздействуют на мозг. Значительное нормальное возрастное изменение, приводящее к тканеспецифической дисфункции, — это истощение половых гормонов. У женщин, в результате менопаузы и относительно быстрой потере естрадиола и прогестерона. У мужчин, в связи с сравнительно постепенным, но значительным уменьшением тестостерона. И эстрогены и андрогены прилагают широкий диапазон защитных действий которые улучшают множественные аспекты нервного здоровья, предлагая, что заместительная гормональная терапия обладает потенциалом сразить патогенез болезни Альцгеймера. Однако перевод экспериментальных данных в эффективные методы лечения оказался сложным. Ожидается, что продолжающиеся исследования половых гормонов и их роли в старении мозга дадут ценные подходы к снижению риска развития болезни Альцгеймера</w:t>
      </w:r>
      <w:r w:rsidR="007533D3" w:rsidRPr="004F5888">
        <w:rPr>
          <w:rFonts w:ascii="Times New Roman" w:hAnsi="Times New Roman" w:cs="Times New Roman"/>
          <w:sz w:val="28"/>
          <w:szCs w:val="28"/>
        </w:rPr>
        <w:t>.</w:t>
      </w:r>
    </w:p>
    <w:p w14:paraId="71138180" w14:textId="6094658A" w:rsidR="00E7415B" w:rsidRPr="004F5888" w:rsidRDefault="00F46488" w:rsidP="004F5888">
      <w:pPr>
        <w:shd w:val="clear" w:color="auto" w:fill="FFFFFF"/>
        <w:spacing w:before="300" w:after="0" w:line="240" w:lineRule="auto"/>
        <w:ind w:firstLine="567"/>
        <w:jc w:val="both"/>
        <w:rPr>
          <w:rFonts w:ascii="Times New Roman" w:eastAsia="Times New Roman" w:hAnsi="Times New Roman" w:cs="Times New Roman"/>
          <w:color w:val="000000" w:themeColor="text1"/>
          <w:sz w:val="28"/>
          <w:szCs w:val="28"/>
          <w:vertAlign w:val="superscript"/>
          <w:lang w:eastAsia="ru-RU"/>
        </w:rPr>
      </w:pPr>
      <w:r w:rsidRPr="004F5888">
        <w:rPr>
          <w:rFonts w:ascii="Times New Roman" w:hAnsi="Times New Roman" w:cs="Times New Roman"/>
          <w:color w:val="000000" w:themeColor="text1"/>
          <w:sz w:val="28"/>
          <w:szCs w:val="28"/>
        </w:rPr>
        <w:t>Инновационные методы нейромодуляции в комбинированной нейроэндокринной терапии/реабилитации (медикаментозные, нефармакологические, и др.) прогнозируют защиту старения головного мозга с возрастным переходным периодом со второго уровня когнитивного здоровья на третий. Гормональная заместительная терапия в профилактике и лечении болезни Альцгеймера, представляет собой сложный и обнадеживающий мультимодальный способ построения стратегии развития персонализированного, нейрокогнитивного управления нервной и эндокринной системами Homo sapiens, в трёхуровневой возрастной системе сохранения здоровья: эмоционального, когнитивного, психического. Ключевым положительным фактором всех исследований является возраст начала менопаузальной гормонотерапии, раннее начало гормонотерапии в период менопаузы является защитным от болезни Альцгеймера.</w:t>
      </w:r>
      <w:r w:rsidR="007533D3" w:rsidRPr="004F5888">
        <w:rPr>
          <w:rFonts w:ascii="Times New Roman" w:hAnsi="Times New Roman" w:cs="Times New Roman"/>
          <w:color w:val="000000" w:themeColor="text1"/>
          <w:sz w:val="28"/>
          <w:szCs w:val="28"/>
          <w:vertAlign w:val="superscript"/>
        </w:rPr>
        <w:t>18</w:t>
      </w:r>
    </w:p>
    <w:p w14:paraId="145BF886" w14:textId="3D2A6C4F" w:rsidR="00E7415B" w:rsidRPr="004F5888" w:rsidRDefault="00A549C0" w:rsidP="004F5888">
      <w:pPr>
        <w:spacing w:after="0" w:line="240" w:lineRule="auto"/>
        <w:ind w:firstLine="709"/>
        <w:jc w:val="both"/>
        <w:rPr>
          <w:rFonts w:ascii="Times New Roman" w:hAnsi="Times New Roman" w:cs="Times New Roman"/>
          <w:b/>
          <w:sz w:val="28"/>
          <w:szCs w:val="28"/>
        </w:rPr>
      </w:pPr>
      <w:r w:rsidRPr="004F5888">
        <w:rPr>
          <w:rFonts w:ascii="Times New Roman" w:hAnsi="Times New Roman" w:cs="Times New Roman"/>
          <w:b/>
          <w:sz w:val="28"/>
          <w:szCs w:val="28"/>
        </w:rPr>
        <w:t>1</w:t>
      </w:r>
      <w:r w:rsidR="00E7415B" w:rsidRPr="004F5888">
        <w:rPr>
          <w:rFonts w:ascii="Times New Roman" w:hAnsi="Times New Roman" w:cs="Times New Roman"/>
          <w:b/>
          <w:sz w:val="28"/>
          <w:szCs w:val="28"/>
        </w:rPr>
        <w:t>.4 Биологические факторы</w:t>
      </w:r>
    </w:p>
    <w:p w14:paraId="2759EB3F" w14:textId="145A562C" w:rsidR="00E7415B" w:rsidRPr="004F5888" w:rsidRDefault="00E7415B" w:rsidP="004F5888">
      <w:pPr>
        <w:spacing w:after="0" w:line="240" w:lineRule="auto"/>
        <w:ind w:firstLine="708"/>
        <w:jc w:val="both"/>
        <w:rPr>
          <w:rFonts w:ascii="Times New Roman" w:hAnsi="Times New Roman" w:cs="Times New Roman"/>
          <w:sz w:val="28"/>
          <w:szCs w:val="28"/>
        </w:rPr>
      </w:pPr>
      <w:r w:rsidRPr="004F5888">
        <w:rPr>
          <w:rFonts w:ascii="Times New Roman" w:hAnsi="Times New Roman" w:cs="Times New Roman"/>
          <w:sz w:val="28"/>
          <w:szCs w:val="28"/>
        </w:rPr>
        <w:t>Среди модифицируемых факторов риска деменции выделяют гипертензии (среднего возраста), диабет, ожирение (среднего возраста), курение, злоупотребление алкоголем, высокий уровень холестерина, депрессию,</w:t>
      </w:r>
      <w:r w:rsidR="0040337B" w:rsidRPr="004F5888">
        <w:rPr>
          <w:rFonts w:ascii="Times New Roman" w:hAnsi="Times New Roman" w:cs="Times New Roman"/>
          <w:sz w:val="28"/>
          <w:szCs w:val="28"/>
        </w:rPr>
        <w:t xml:space="preserve"> кардиальную патологию и др</w:t>
      </w:r>
      <w:r w:rsidRPr="004F5888">
        <w:rPr>
          <w:rFonts w:ascii="Times New Roman" w:hAnsi="Times New Roman" w:cs="Times New Roman"/>
          <w:sz w:val="28"/>
          <w:szCs w:val="28"/>
        </w:rPr>
        <w:t xml:space="preserve">. Высокое артериальное давление является одним из наиболее важных контролируемых факторов риска когнитивного снижения. Особую роль в возникновении когнитивного дефицита артериальная гипертензия играет в середине жизни. В отличие от этого связь между гипертонией и деменцией в пожилом возрасте является более спорным вопросом. Существуют даже предположения, что в пожилом и старческом возрасте высокое артериальное давление осуществляет некую защитную нейропротекторную роль. </w:t>
      </w:r>
    </w:p>
    <w:p w14:paraId="3FA29D10" w14:textId="7E003F96"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lastRenderedPageBreak/>
        <w:t>При оценке риска развития когнитивных нарушений наибольшую роль играет повышение систолического и снижение диастоличе</w:t>
      </w:r>
      <w:r w:rsidR="0040337B" w:rsidRPr="004F5888">
        <w:rPr>
          <w:rFonts w:ascii="Times New Roman" w:hAnsi="Times New Roman" w:cs="Times New Roman"/>
          <w:sz w:val="28"/>
          <w:szCs w:val="28"/>
        </w:rPr>
        <w:t>ского артериального давления</w:t>
      </w:r>
      <w:r w:rsidRPr="004F5888">
        <w:rPr>
          <w:rFonts w:ascii="Times New Roman" w:hAnsi="Times New Roman" w:cs="Times New Roman"/>
          <w:sz w:val="28"/>
          <w:szCs w:val="28"/>
        </w:rPr>
        <w:t>. Необходимо также учитывать, что в ряде случаев после развития болезни Альцгеймера может происходить нормализация или снижение артериального давления у лиц, стра</w:t>
      </w:r>
      <w:r w:rsidR="0040337B" w:rsidRPr="004F5888">
        <w:rPr>
          <w:rFonts w:ascii="Times New Roman" w:hAnsi="Times New Roman" w:cs="Times New Roman"/>
          <w:sz w:val="28"/>
          <w:szCs w:val="28"/>
        </w:rPr>
        <w:t>дающих изначально гипертонией.</w:t>
      </w:r>
      <w:r w:rsidRPr="004F5888">
        <w:rPr>
          <w:rFonts w:ascii="Times New Roman" w:hAnsi="Times New Roman" w:cs="Times New Roman"/>
          <w:sz w:val="28"/>
          <w:szCs w:val="28"/>
        </w:rPr>
        <w:t xml:space="preserve"> По примерным расчетам, около 5% (1,7 млн) случаев болезни Альцгеймера по всему миру потенциально связано с артериальной гипертонией. 10%-ное снижение распространенности артериальной гипертонии в среднем возрасте позволило бы уменьшить число случаев болезни Альцгеймера на 160 000, а сокращение 25% – 400 000 случаев заболевания</w:t>
      </w:r>
    </w:p>
    <w:p w14:paraId="5C704C19" w14:textId="61DEDCDD" w:rsidR="00E7415B" w:rsidRPr="004F5888" w:rsidRDefault="00E7415B" w:rsidP="004F5888">
      <w:pPr>
        <w:spacing w:after="0" w:line="240" w:lineRule="auto"/>
        <w:ind w:firstLine="709"/>
        <w:jc w:val="both"/>
        <w:rPr>
          <w:rFonts w:ascii="Times New Roman" w:hAnsi="Times New Roman" w:cs="Times New Roman"/>
          <w:sz w:val="28"/>
          <w:szCs w:val="28"/>
          <w:vertAlign w:val="superscript"/>
        </w:rPr>
      </w:pPr>
      <w:r w:rsidRPr="004F5888">
        <w:rPr>
          <w:rFonts w:ascii="Times New Roman" w:hAnsi="Times New Roman" w:cs="Times New Roman"/>
          <w:sz w:val="28"/>
          <w:szCs w:val="28"/>
        </w:rPr>
        <w:t xml:space="preserve">Большой интерес вызывает влияние ожирения. Было показано, что общая масса тела и ожирение, особенно в середине жизни, увеличивают риск деменции и болезни </w:t>
      </w:r>
      <w:r w:rsidR="0040337B" w:rsidRPr="004F5888">
        <w:rPr>
          <w:rFonts w:ascii="Times New Roman" w:hAnsi="Times New Roman" w:cs="Times New Roman"/>
          <w:sz w:val="28"/>
          <w:szCs w:val="28"/>
        </w:rPr>
        <w:t>Альцгеймера</w:t>
      </w:r>
      <w:r w:rsidRPr="004F5888">
        <w:rPr>
          <w:rFonts w:ascii="Times New Roman" w:hAnsi="Times New Roman" w:cs="Times New Roman"/>
          <w:sz w:val="28"/>
          <w:szCs w:val="28"/>
        </w:rPr>
        <w:t>. Однако механизмы, лежащие в основе такой взаимосвязи, до конца неясны. Вместе с тем у лиц, страдающих ожирением, достоверно чаще отмечаются атрофические изменения головного мозга. Показаны четкие обратные взаимосвязи индекса массы тела и ожирения с объемом височной доли, гиппокамп</w:t>
      </w:r>
      <w:r w:rsidR="0040337B" w:rsidRPr="004F5888">
        <w:rPr>
          <w:rFonts w:ascii="Times New Roman" w:hAnsi="Times New Roman" w:cs="Times New Roman"/>
          <w:sz w:val="28"/>
          <w:szCs w:val="28"/>
        </w:rPr>
        <w:t>а и общим объемом мозга</w:t>
      </w:r>
      <w:r w:rsidRPr="004F5888">
        <w:rPr>
          <w:rFonts w:ascii="Times New Roman" w:hAnsi="Times New Roman" w:cs="Times New Roman"/>
          <w:sz w:val="28"/>
          <w:szCs w:val="28"/>
        </w:rPr>
        <w:t>. Было подсчитано, что около 2% случаев болезни Альцгеймера потенциально связаны с ожирением в среднем возрасте, 10%-ное уменьшение числа людей с ожирением может предотвратить 67 000 случаев болезни Альцгеймера во всем</w:t>
      </w:r>
      <w:r w:rsidR="0040337B" w:rsidRPr="004F5888">
        <w:rPr>
          <w:rFonts w:ascii="Times New Roman" w:hAnsi="Times New Roman" w:cs="Times New Roman"/>
          <w:sz w:val="28"/>
          <w:szCs w:val="28"/>
        </w:rPr>
        <w:t xml:space="preserve"> мире, а 25% – около 167 000</w:t>
      </w:r>
      <w:r w:rsidRPr="004F5888">
        <w:rPr>
          <w:rFonts w:ascii="Times New Roman" w:hAnsi="Times New Roman" w:cs="Times New Roman"/>
          <w:sz w:val="28"/>
          <w:szCs w:val="28"/>
        </w:rPr>
        <w:t>.</w:t>
      </w:r>
      <w:r w:rsidR="0040337B" w:rsidRPr="004F5888">
        <w:rPr>
          <w:rFonts w:ascii="Times New Roman" w:hAnsi="Times New Roman" w:cs="Times New Roman"/>
          <w:sz w:val="28"/>
          <w:szCs w:val="28"/>
          <w:vertAlign w:val="superscript"/>
        </w:rPr>
        <w:t>13</w:t>
      </w:r>
    </w:p>
    <w:p w14:paraId="17E0E9F8" w14:textId="0DD05A59"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Исследование микробиома человека стало реальностью благодаря наличию мощных технологий метагеномики и метатранскриптомного анализа. Нейровизуализация и методы секвенирования нового поколения установили взаимодействия хозяина и микроорганизмов, идентифицируют потенциальные гены и пути, связанные со здоровьем человека, и его предрасположенность к различным заболеваниям. Индивидуальное сочетанное (медикаментозное и немедикаментозное) вмешательство в циркадианную ось «микробиота–кишечник–мозг» с помощью ежедневного употребления функциональных продуктов питания, положительно влияет на когнитивное и психическое здоровье человека. Дальнейшее исследование полимодальности нейросетей с нейрофизиологическими и нейроэндокринными механизмами в нейробиологических и хрономедицинских процессах функционирования «когнитивного» и «висцерального» мозга, позволит сохранить достаточную нейропластичность и повысить когнитивн</w:t>
      </w:r>
      <w:r w:rsidR="00F46488" w:rsidRPr="004F5888">
        <w:rPr>
          <w:rFonts w:ascii="Times New Roman" w:hAnsi="Times New Roman" w:cs="Times New Roman"/>
          <w:sz w:val="28"/>
          <w:szCs w:val="28"/>
        </w:rPr>
        <w:t>ый резерв головного мозга</w:t>
      </w:r>
      <w:r w:rsidRPr="004F5888">
        <w:rPr>
          <w:rFonts w:ascii="Times New Roman" w:hAnsi="Times New Roman" w:cs="Times New Roman"/>
          <w:sz w:val="28"/>
          <w:szCs w:val="28"/>
        </w:rPr>
        <w:t xml:space="preserve">. Разработаны комбинированные и/или дополнительные методы, которые активируют процессы нейрогенеза в головном мозге и </w:t>
      </w:r>
      <w:r w:rsidR="00F46488" w:rsidRPr="004F5888">
        <w:rPr>
          <w:rFonts w:ascii="Times New Roman" w:hAnsi="Times New Roman" w:cs="Times New Roman"/>
          <w:sz w:val="28"/>
          <w:szCs w:val="28"/>
        </w:rPr>
        <w:t>его нейропластичность</w:t>
      </w:r>
      <w:r w:rsidRPr="004F5888">
        <w:rPr>
          <w:rFonts w:ascii="Times New Roman" w:hAnsi="Times New Roman" w:cs="Times New Roman"/>
          <w:sz w:val="28"/>
          <w:szCs w:val="28"/>
        </w:rPr>
        <w:t>. Разработан алгоритм ранней диагностики когнитивных нарушений, который позволяет своевременно диагностировать когнитивные расстройства, установить степень тяжести, провести дифференциальную диаг</w:t>
      </w:r>
      <w:r w:rsidR="00F46488" w:rsidRPr="004F5888">
        <w:rPr>
          <w:rFonts w:ascii="Times New Roman" w:hAnsi="Times New Roman" w:cs="Times New Roman"/>
          <w:sz w:val="28"/>
          <w:szCs w:val="28"/>
        </w:rPr>
        <w:t>ностику нейродегенерации</w:t>
      </w:r>
      <w:r w:rsidRPr="004F5888">
        <w:rPr>
          <w:rFonts w:ascii="Times New Roman" w:hAnsi="Times New Roman" w:cs="Times New Roman"/>
          <w:sz w:val="28"/>
          <w:szCs w:val="28"/>
        </w:rPr>
        <w:t xml:space="preserve">. Функциональные продукты питания различные по составу, с системным воздействием как на гуморальные и гормональные циркадианные колебания, так и на персонифицированное состояние здоровья, и его полиморбидность. Включение в комбинированную схему функционального продукта питания обусловлено его сбалансированностью по содержанию микро– и макроэлементов, витаминов и минералов, клетчатки и др., необходимых мужскому и женскому организму человека как для профилактики гормональных нарушений в репродуктивной системе, так и для </w:t>
      </w:r>
      <w:r w:rsidRPr="004F5888">
        <w:rPr>
          <w:rFonts w:ascii="Times New Roman" w:hAnsi="Times New Roman" w:cs="Times New Roman"/>
          <w:sz w:val="28"/>
          <w:szCs w:val="28"/>
        </w:rPr>
        <w:lastRenderedPageBreak/>
        <w:t>диетического, профилактического и функционального питания</w:t>
      </w:r>
      <w:r w:rsidR="00F46488" w:rsidRPr="004F5888">
        <w:rPr>
          <w:rFonts w:ascii="Times New Roman" w:hAnsi="Times New Roman" w:cs="Times New Roman"/>
          <w:sz w:val="28"/>
          <w:szCs w:val="28"/>
        </w:rPr>
        <w:t xml:space="preserve"> при диссомнии, десинхронозе</w:t>
      </w:r>
      <w:r w:rsidRPr="004F5888">
        <w:rPr>
          <w:rFonts w:ascii="Times New Roman" w:hAnsi="Times New Roman" w:cs="Times New Roman"/>
          <w:sz w:val="28"/>
          <w:szCs w:val="28"/>
        </w:rPr>
        <w:t>. Концентрация мелатонина в желудочно–кишечных тканях превосходит уровень крови в 10–100 раз, а в желудочно–кишечном тракте по крайней мере в 400 раз больше мелатонина, ч</w:t>
      </w:r>
      <w:r w:rsidR="00F46488" w:rsidRPr="004F5888">
        <w:rPr>
          <w:rFonts w:ascii="Times New Roman" w:hAnsi="Times New Roman" w:cs="Times New Roman"/>
          <w:sz w:val="28"/>
          <w:szCs w:val="28"/>
        </w:rPr>
        <w:t>ем в шишковидной железе</w:t>
      </w:r>
      <w:r w:rsidRPr="004F5888">
        <w:rPr>
          <w:rFonts w:ascii="Times New Roman" w:hAnsi="Times New Roman" w:cs="Times New Roman"/>
          <w:sz w:val="28"/>
          <w:szCs w:val="28"/>
        </w:rPr>
        <w:t>. Организм человека представляет собой симбиотическое сообщество многочисленных эукариотических, прокариотических клеток, вирусов и архебактерий. Общее число соматических и зародышевых клеток достигает 1 трлн, а микробных клеток — свыше 100 трлн. В системно-интегративной деятельности головного мозга человека насчитывается огромное количество — примерно 10 млрд связанных между собой и постоян</w:t>
      </w:r>
      <w:r w:rsidR="00F46488" w:rsidRPr="004F5888">
        <w:rPr>
          <w:rFonts w:ascii="Times New Roman" w:hAnsi="Times New Roman" w:cs="Times New Roman"/>
          <w:sz w:val="28"/>
          <w:szCs w:val="28"/>
        </w:rPr>
        <w:t xml:space="preserve">но взаимодействующих клеток </w:t>
      </w:r>
      <w:r w:rsidRPr="004F5888">
        <w:rPr>
          <w:rFonts w:ascii="Times New Roman" w:hAnsi="Times New Roman" w:cs="Times New Roman"/>
          <w:sz w:val="28"/>
          <w:szCs w:val="28"/>
        </w:rPr>
        <w:t>.</w:t>
      </w:r>
    </w:p>
    <w:p w14:paraId="663A1E79" w14:textId="77777777" w:rsidR="00F46488" w:rsidRPr="004F5888" w:rsidRDefault="00E7415B" w:rsidP="004F5888">
      <w:pPr>
        <w:spacing w:after="0" w:line="240" w:lineRule="auto"/>
        <w:ind w:firstLine="567"/>
        <w:jc w:val="both"/>
        <w:rPr>
          <w:rFonts w:ascii="Times New Roman" w:hAnsi="Times New Roman" w:cs="Times New Roman"/>
          <w:sz w:val="28"/>
          <w:szCs w:val="28"/>
          <w:vertAlign w:val="superscript"/>
        </w:rPr>
      </w:pPr>
      <w:r w:rsidRPr="004F5888">
        <w:rPr>
          <w:rFonts w:ascii="Times New Roman" w:hAnsi="Times New Roman" w:cs="Times New Roman"/>
          <w:sz w:val="28"/>
          <w:szCs w:val="28"/>
        </w:rPr>
        <w:t>Болезнь Альцгеймера является нейродегенеративным расстройством, характеризующимся прогрессирующей потерей памяти, языка и когнитивных способностей. Согласно классической модели «амилоидного каскада», заболевание возникает в результате избыточной продукции бета-амилоидного пептида (Аβ) после нарушения гомеостатических механизмов, которые регулируют протеолитическое расщепление белка-предшественника амилоида (APP). Амилоиды, ассоциированные с болезнью Альцгеймера, состоят в основном из периваскулярного амилоида, обогащенного 42-а</w:t>
      </w:r>
      <w:r w:rsidR="00F46488" w:rsidRPr="004F5888">
        <w:rPr>
          <w:rFonts w:ascii="Times New Roman" w:hAnsi="Times New Roman" w:cs="Times New Roman"/>
          <w:sz w:val="28"/>
          <w:szCs w:val="28"/>
        </w:rPr>
        <w:t>минокислотным пептидом Aβ42</w:t>
      </w:r>
      <w:r w:rsidRPr="004F5888">
        <w:rPr>
          <w:rFonts w:ascii="Times New Roman" w:hAnsi="Times New Roman" w:cs="Times New Roman"/>
          <w:sz w:val="28"/>
          <w:szCs w:val="28"/>
        </w:rPr>
        <w:t>. Следовательно, кишечные микробы могут изменять уровни метаболитов, связанных с нейромедиаторами, влияя на связь между кишечником и мозгом и / или изменя</w:t>
      </w:r>
      <w:r w:rsidR="00F46488" w:rsidRPr="004F5888">
        <w:rPr>
          <w:rFonts w:ascii="Times New Roman" w:hAnsi="Times New Roman" w:cs="Times New Roman"/>
          <w:sz w:val="28"/>
          <w:szCs w:val="28"/>
        </w:rPr>
        <w:t>я функцию мозга</w:t>
      </w:r>
      <w:r w:rsidRPr="004F5888">
        <w:rPr>
          <w:rFonts w:ascii="Times New Roman" w:hAnsi="Times New Roman" w:cs="Times New Roman"/>
          <w:sz w:val="28"/>
          <w:szCs w:val="28"/>
        </w:rPr>
        <w:t>. Кроме того, многие бактерии способны синтезировать и генерировать многие нейромедиаторы и нейромодуляторы, а также нейропептиды из энтероэндокринных клеток, что указывает на возможное участие кишечной микрофлоры в развитии</w:t>
      </w:r>
      <w:r w:rsidR="00F46488" w:rsidRPr="004F5888">
        <w:rPr>
          <w:rFonts w:ascii="Times New Roman" w:hAnsi="Times New Roman" w:cs="Times New Roman"/>
          <w:sz w:val="28"/>
          <w:szCs w:val="28"/>
        </w:rPr>
        <w:t xml:space="preserve"> болезни Альцгеймера</w:t>
      </w:r>
      <w:r w:rsidRPr="004F5888">
        <w:rPr>
          <w:rFonts w:ascii="Times New Roman" w:hAnsi="Times New Roman" w:cs="Times New Roman"/>
          <w:sz w:val="28"/>
          <w:szCs w:val="28"/>
        </w:rPr>
        <w:t>. Кишечная микробиота — сложное сообщество, которое помогает поддерживать динамичный метаболический экологический баланс. В организме взрослого человека насчитывается около 100 триллионов бактерий, 80% из которых находятся в кишечнике, что примерно в десять раз больше, чем в клетках человеческого тела. Кишечный микробиом содержит более 100 видов бактерий, кодирующих в 150 раз больше генов, чем геном человека. Хорошо известно, что микробиом человека состоит из более, чем 5000 штаммов микробов и боле</w:t>
      </w:r>
      <w:r w:rsidR="00F46488" w:rsidRPr="004F5888">
        <w:rPr>
          <w:rFonts w:ascii="Times New Roman" w:hAnsi="Times New Roman" w:cs="Times New Roman"/>
          <w:sz w:val="28"/>
          <w:szCs w:val="28"/>
        </w:rPr>
        <w:t>е 1000 видов микрофлоры</w:t>
      </w:r>
      <w:r w:rsidRPr="004F5888">
        <w:rPr>
          <w:rFonts w:ascii="Times New Roman" w:hAnsi="Times New Roman" w:cs="Times New Roman"/>
          <w:sz w:val="28"/>
          <w:szCs w:val="28"/>
        </w:rPr>
        <w:t>.</w:t>
      </w:r>
      <w:r w:rsidR="00F46488" w:rsidRPr="004F5888">
        <w:rPr>
          <w:rFonts w:ascii="Times New Roman" w:hAnsi="Times New Roman" w:cs="Times New Roman"/>
          <w:sz w:val="28"/>
          <w:szCs w:val="28"/>
          <w:vertAlign w:val="superscript"/>
        </w:rPr>
        <w:t>14</w:t>
      </w:r>
    </w:p>
    <w:p w14:paraId="24E2BE92" w14:textId="77777777" w:rsidR="00E7415B" w:rsidRPr="004F5888" w:rsidRDefault="00E7415B" w:rsidP="004F5888">
      <w:pPr>
        <w:spacing w:after="0" w:line="240" w:lineRule="auto"/>
        <w:jc w:val="both"/>
        <w:rPr>
          <w:rFonts w:ascii="Times New Roman" w:hAnsi="Times New Roman" w:cs="Times New Roman"/>
          <w:sz w:val="28"/>
          <w:szCs w:val="28"/>
        </w:rPr>
      </w:pPr>
    </w:p>
    <w:p w14:paraId="29B5A827" w14:textId="0AEA665B" w:rsidR="00E7415B" w:rsidRPr="004F5888" w:rsidRDefault="00E42077" w:rsidP="004F5888">
      <w:pPr>
        <w:spacing w:after="0" w:line="240" w:lineRule="auto"/>
        <w:ind w:firstLine="709"/>
        <w:jc w:val="both"/>
        <w:rPr>
          <w:rFonts w:ascii="Times New Roman" w:hAnsi="Times New Roman" w:cs="Times New Roman"/>
          <w:b/>
          <w:sz w:val="28"/>
          <w:szCs w:val="28"/>
          <w:shd w:val="clear" w:color="auto" w:fill="FFFFFF"/>
        </w:rPr>
      </w:pPr>
      <w:r w:rsidRPr="004F5888">
        <w:rPr>
          <w:rFonts w:ascii="Times New Roman" w:hAnsi="Times New Roman" w:cs="Times New Roman"/>
          <w:b/>
          <w:sz w:val="28"/>
          <w:szCs w:val="28"/>
          <w:shd w:val="clear" w:color="auto" w:fill="FFFFFF"/>
        </w:rPr>
        <w:t>1.</w:t>
      </w:r>
      <w:r w:rsidR="00E7415B" w:rsidRPr="004F5888">
        <w:rPr>
          <w:rFonts w:ascii="Times New Roman" w:hAnsi="Times New Roman" w:cs="Times New Roman"/>
          <w:b/>
          <w:sz w:val="28"/>
          <w:szCs w:val="28"/>
          <w:shd w:val="clear" w:color="auto" w:fill="FFFFFF"/>
        </w:rPr>
        <w:t>5 Диагностика</w:t>
      </w:r>
    </w:p>
    <w:p w14:paraId="302CCF43" w14:textId="0BC247D2" w:rsidR="00AB6980" w:rsidRPr="004F5888" w:rsidRDefault="00AB6980" w:rsidP="004F5888">
      <w:pPr>
        <w:spacing w:after="0" w:line="240" w:lineRule="auto"/>
        <w:ind w:firstLine="709"/>
        <w:jc w:val="both"/>
        <w:rPr>
          <w:rFonts w:ascii="Times New Roman" w:hAnsi="Times New Roman" w:cs="Times New Roman"/>
          <w:b/>
          <w:sz w:val="28"/>
          <w:szCs w:val="28"/>
          <w:shd w:val="clear" w:color="auto" w:fill="FFFFFF"/>
        </w:rPr>
      </w:pPr>
      <w:r w:rsidRPr="004F5888">
        <w:rPr>
          <w:rFonts w:ascii="Times New Roman" w:hAnsi="Times New Roman" w:cs="Times New Roman"/>
          <w:b/>
          <w:sz w:val="28"/>
          <w:szCs w:val="28"/>
          <w:shd w:val="clear" w:color="auto" w:fill="FFFFFF"/>
        </w:rPr>
        <w:t>(подглавы-протесты, про недостатки выявления)</w:t>
      </w:r>
    </w:p>
    <w:p w14:paraId="3900B417" w14:textId="0D04D5E4" w:rsidR="00E7415B" w:rsidRPr="004F5888" w:rsidRDefault="00E7415B" w:rsidP="004F5888">
      <w:pPr>
        <w:spacing w:after="0" w:line="240" w:lineRule="auto"/>
        <w:ind w:firstLine="709"/>
        <w:jc w:val="both"/>
        <w:rPr>
          <w:rFonts w:ascii="Times New Roman" w:hAnsi="Times New Roman" w:cs="Times New Roman"/>
          <w:sz w:val="28"/>
          <w:szCs w:val="28"/>
          <w:shd w:val="clear" w:color="auto" w:fill="FFFFFF"/>
          <w:vertAlign w:val="superscript"/>
        </w:rPr>
      </w:pPr>
      <w:r w:rsidRPr="004F5888">
        <w:rPr>
          <w:rFonts w:ascii="Times New Roman" w:hAnsi="Times New Roman" w:cs="Times New Roman"/>
          <w:sz w:val="28"/>
          <w:szCs w:val="28"/>
          <w:shd w:val="clear" w:color="auto" w:fill="FFFFFF"/>
        </w:rPr>
        <w:t xml:space="preserve">Исследование когнитивных функций у пациентов с интеллектуально-мнестическими нарушениями различного генеза - один из основных способов диагностики. Большинство методик изначально валидизированы только для диагностики БА. С данной целью широко применяются: батарея тестов для оценки лобной дисфункции (FAB), тесты на речевую активность - литеральные и категориальные ассоциации (Dubois В., Slachevsky A., Litvan I. et al. The FAB: A frontal assessment battery at bedside // Neurology. - 2000. - Vol.55, №11. - P. 1621-1626; Kazdin A.E. Single-case research designs: methods for clinical and applied settings. - New York, NY: Oxford University Press, 1982. - 55 p.), методики оценки вербального запоминания, такие как тест 10 слов (Лурия А.Р. Высшие корковые функции человека и их </w:t>
      </w:r>
      <w:r w:rsidRPr="004F5888">
        <w:rPr>
          <w:rFonts w:ascii="Times New Roman" w:hAnsi="Times New Roman" w:cs="Times New Roman"/>
          <w:sz w:val="28"/>
          <w:szCs w:val="28"/>
          <w:shd w:val="clear" w:color="auto" w:fill="FFFFFF"/>
        </w:rPr>
        <w:lastRenderedPageBreak/>
        <w:t xml:space="preserve">нарушения при локальных поражениях мозга. - 2-е доп.изд. - М.: Изд-во МГУ, 1969. - 504 с), тест 5 слов (Grober Е., Buschke Н.; Crystal Н. et al. Screening for dementia by memory testing // Neurology. - 1988. - Vol.38, №6. - P. 900-903). В то же время такие комплексные оценочные шкалы не позволяют уточнять генез когнитивных расстройств и лишь определяют их степень тяжести. Недостатками всех перечисленных выше способов диагностики является их </w:t>
      </w:r>
      <w:r w:rsidRPr="004F5888">
        <w:rPr>
          <w:rFonts w:ascii="Times New Roman" w:hAnsi="Times New Roman" w:cs="Times New Roman"/>
          <w:b/>
          <w:bCs/>
          <w:sz w:val="28"/>
          <w:szCs w:val="28"/>
          <w:shd w:val="clear" w:color="auto" w:fill="FFFFFF"/>
        </w:rPr>
        <w:t>малая информативность</w:t>
      </w:r>
      <w:r w:rsidRPr="004F5888">
        <w:rPr>
          <w:rFonts w:ascii="Times New Roman" w:hAnsi="Times New Roman" w:cs="Times New Roman"/>
          <w:sz w:val="28"/>
          <w:szCs w:val="28"/>
          <w:shd w:val="clear" w:color="auto" w:fill="FFFFFF"/>
        </w:rPr>
        <w:t xml:space="preserve"> в определении клинической формы заболевания.</w:t>
      </w:r>
      <w:r w:rsidR="007533D3" w:rsidRPr="004F5888">
        <w:rPr>
          <w:rFonts w:ascii="Times New Roman" w:hAnsi="Times New Roman" w:cs="Times New Roman"/>
          <w:sz w:val="28"/>
          <w:szCs w:val="28"/>
          <w:shd w:val="clear" w:color="auto" w:fill="FFFFFF"/>
          <w:vertAlign w:val="superscript"/>
        </w:rPr>
        <w:t>19</w:t>
      </w:r>
    </w:p>
    <w:p w14:paraId="6234E7A7" w14:textId="54CFF5B9" w:rsidR="00E7415B" w:rsidRPr="004F5888" w:rsidRDefault="00E7415B" w:rsidP="004F5888">
      <w:pPr>
        <w:spacing w:after="0" w:line="240" w:lineRule="auto"/>
        <w:ind w:firstLine="708"/>
        <w:jc w:val="both"/>
        <w:rPr>
          <w:rFonts w:ascii="Times New Roman" w:hAnsi="Times New Roman" w:cs="Times New Roman"/>
          <w:b/>
          <w:sz w:val="28"/>
          <w:szCs w:val="28"/>
          <w:shd w:val="clear" w:color="auto" w:fill="FFFFFF"/>
        </w:rPr>
      </w:pPr>
      <w:r w:rsidRPr="004F5888">
        <w:rPr>
          <w:rFonts w:ascii="Times New Roman" w:hAnsi="Times New Roman" w:cs="Times New Roman"/>
          <w:b/>
          <w:sz w:val="28"/>
          <w:szCs w:val="28"/>
          <w:shd w:val="clear" w:color="auto" w:fill="FFFFFF"/>
        </w:rPr>
        <w:t xml:space="preserve">1.1.6 </w:t>
      </w:r>
      <w:r w:rsidRPr="004F5888">
        <w:rPr>
          <w:rFonts w:ascii="Times New Roman" w:hAnsi="Times New Roman" w:cs="Times New Roman"/>
          <w:b/>
          <w:bCs/>
          <w:sz w:val="28"/>
          <w:szCs w:val="28"/>
        </w:rPr>
        <w:t>Недостатки лечения БА в Казахстане</w:t>
      </w:r>
    </w:p>
    <w:p w14:paraId="22A7D194" w14:textId="77777777" w:rsidR="00E7415B" w:rsidRPr="004F5888" w:rsidRDefault="00E7415B"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Анализируя состояние проблемы по выявлению и лечению возрастной деменции в г. Астана, обращает на себя внимание ряд негативных особенностей, а именно:</w:t>
      </w:r>
    </w:p>
    <w:p w14:paraId="1B1FE16D" w14:textId="77777777" w:rsidR="00E7415B" w:rsidRPr="004F5888" w:rsidRDefault="00E7415B"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 1. В Казахстане не проводились крупные эпидемиологические исследования по деменции, как следствие, отсутствуют официальные статистические данные. </w:t>
      </w:r>
    </w:p>
    <w:p w14:paraId="3117D117" w14:textId="77777777" w:rsidR="00E7415B" w:rsidRPr="004F5888" w:rsidRDefault="00E7415B"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2. Имеет место недостаточная диагностика, особенно первичных (нейродегенеративных) форм. Специалисты (психиатры, неврологи) крайне редко выставляют диагноз деменции. Зачастую под маской болезни Альцгеймера выставляется диагноз «Дисциркуляторная энцефалопатия», «Посттравматическая энцефалопатия» или другие симптоматические формы. К сожалению, многие специалисты имеют недостаточно знаний и навыков в диагностике синдрома деменции, не знакомы с современными диагностическими критериями распространенных нозологических форм деменции и международными стандартами лечения. </w:t>
      </w:r>
    </w:p>
    <w:p w14:paraId="79BD258F" w14:textId="77777777" w:rsidR="00E7415B" w:rsidRPr="004F5888" w:rsidRDefault="00E7415B"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3. На данные статистики влияют также низкая осведомленность и плохая обращаемость дементных больных за медицинской помощью, большая часть пациентов с когнитивными нарушениями пожилого и старческого возраста остаются «неучтенными». Если больные с сосудистой постинсультной деменцией еще попадают в поле зрения врача, в связи с приоритетностью цереброваскулярной патологии в отечественном здравоохранении, то пациенты с первичными формами, в том числе с болезнью Альцгеймера, в большей массе остаются необследованными и, соответственно, не получают адекватной терапии.</w:t>
      </w:r>
    </w:p>
    <w:p w14:paraId="6856E6B8" w14:textId="601F3A94" w:rsidR="00E7415B" w:rsidRPr="004F5888" w:rsidRDefault="004B7FD3"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4.</w:t>
      </w:r>
      <w:r w:rsidR="00E7415B" w:rsidRPr="004F5888">
        <w:rPr>
          <w:rFonts w:ascii="Times New Roman" w:hAnsi="Times New Roman" w:cs="Times New Roman"/>
          <w:sz w:val="28"/>
          <w:szCs w:val="28"/>
        </w:rPr>
        <w:t xml:space="preserve"> Среди населения широко распространено мнение, что снижение памяти и ухудшение других когнитивных функций являются нормой для пожилых и престарелых. </w:t>
      </w:r>
    </w:p>
    <w:p w14:paraId="68DDFFC7" w14:textId="77777777" w:rsidR="00E7415B" w:rsidRPr="004F5888" w:rsidRDefault="00E7415B" w:rsidP="004F5888">
      <w:pPr>
        <w:spacing w:after="0" w:line="240" w:lineRule="auto"/>
        <w:jc w:val="both"/>
        <w:rPr>
          <w:rFonts w:ascii="Times New Roman" w:hAnsi="Times New Roman" w:cs="Times New Roman"/>
          <w:b/>
          <w:bCs/>
          <w:sz w:val="28"/>
          <w:szCs w:val="28"/>
        </w:rPr>
      </w:pPr>
      <w:r w:rsidRPr="004F5888">
        <w:rPr>
          <w:rFonts w:ascii="Times New Roman" w:hAnsi="Times New Roman" w:cs="Times New Roman"/>
          <w:sz w:val="28"/>
          <w:szCs w:val="28"/>
        </w:rPr>
        <w:t xml:space="preserve">5. Фармакотерапия пациентов с деменцией, как правило, сводится к назначению ноотропов и сосудистых препаратов, не имеющих доказательной базы. Охват базисной антидементивной терапией данной категории пациентов остается крайне низким. </w:t>
      </w:r>
    </w:p>
    <w:p w14:paraId="27AA5474" w14:textId="3FD27CA2" w:rsidR="00E7415B" w:rsidRPr="004F5888" w:rsidRDefault="00E7415B" w:rsidP="004F5888">
      <w:pPr>
        <w:spacing w:after="0" w:line="240" w:lineRule="auto"/>
        <w:jc w:val="both"/>
        <w:rPr>
          <w:rFonts w:ascii="Times New Roman" w:hAnsi="Times New Roman" w:cs="Times New Roman"/>
          <w:b/>
          <w:bCs/>
          <w:sz w:val="28"/>
          <w:szCs w:val="28"/>
          <w:vertAlign w:val="superscript"/>
        </w:rPr>
      </w:pPr>
      <w:r w:rsidRPr="004F5888">
        <w:rPr>
          <w:rFonts w:ascii="Times New Roman" w:hAnsi="Times New Roman" w:cs="Times New Roman"/>
          <w:sz w:val="28"/>
          <w:szCs w:val="28"/>
        </w:rPr>
        <w:t xml:space="preserve">6. В отличии от развитых стран Европы и США, в нашей стране пока еще слабо развита геронтологическая служба, практически отсутствуют специализированные учреждения по уходу, не предусмотрены гериатрические кабинеты в поликлиниках. К большому сожалению, больные деменцией лишены медико-социальной помощи, в которой они так нуждаются [10]. В связи с вышеперечисленным в нашей стране требуется активное привлечение внимания медицинской и широкой общественности к данной проблеме, необходимы масштабные исследования с изучением социально-демографических и этнических особенностей в нозологической структуре </w:t>
      </w:r>
      <w:r w:rsidRPr="004F5888">
        <w:rPr>
          <w:rFonts w:ascii="Times New Roman" w:hAnsi="Times New Roman" w:cs="Times New Roman"/>
          <w:sz w:val="28"/>
          <w:szCs w:val="28"/>
        </w:rPr>
        <w:lastRenderedPageBreak/>
        <w:t>казахстанской деменции. Также очень важным и актуальным считаем повышение уровня образованности медицинских работников и осведомленности населения в вопросах диагностики и лечения деменции, так как продление периода активного долголетия с позиций концепции качества жизни, является одной из важнейших задач современного казахстанского здравоохранения.</w:t>
      </w:r>
      <w:r w:rsidR="007533D3" w:rsidRPr="004F5888">
        <w:rPr>
          <w:rFonts w:ascii="Times New Roman" w:hAnsi="Times New Roman" w:cs="Times New Roman"/>
          <w:sz w:val="28"/>
          <w:szCs w:val="28"/>
          <w:vertAlign w:val="superscript"/>
        </w:rPr>
        <w:t>20</w:t>
      </w:r>
    </w:p>
    <w:p w14:paraId="00DE26CF" w14:textId="1904E927" w:rsidR="00E7415B" w:rsidRPr="004F5888" w:rsidRDefault="00E7415B" w:rsidP="004F5888">
      <w:pPr>
        <w:spacing w:after="0" w:line="240" w:lineRule="auto"/>
        <w:jc w:val="both"/>
        <w:rPr>
          <w:rFonts w:ascii="Times New Roman" w:hAnsi="Times New Roman" w:cs="Times New Roman"/>
          <w:sz w:val="28"/>
          <w:szCs w:val="28"/>
          <w:vertAlign w:val="superscript"/>
        </w:rPr>
      </w:pPr>
      <w:r w:rsidRPr="004F5888">
        <w:rPr>
          <w:rFonts w:ascii="Times New Roman" w:hAnsi="Times New Roman" w:cs="Times New Roman"/>
          <w:sz w:val="28"/>
          <w:szCs w:val="28"/>
        </w:rPr>
        <w:t>В данной статье показано, как развивается болезнь Альцгеймера приводящая к гибели клеток головного мозга и сопровождающаяся тяжелыми психическими и функциональными нарушениями. Это одна из болезней центральной нервной системы, механизмы возникновения которой до сих пор не достаточно изучены. Болезнь Альцгеймера развивается в височной доле и области гиппокампа, где возникающие амилоидные бляшки приводят к гибели нервных клеток. Существует несколько теорий о причинах появления и развития заболевания, но ни одна из них пока не получила всемирного признания. Ведущее место среди выдвигаемых гипотез занимает генетический фактор. Среди прочего выделяют 3 группы риска заболеваемости – некорригируемые, частично корригируемые и корригируемые. Все эти вопросы некорригируемых факторов являются достаточно сложными и нерешенными на данный момент. Нами проведено на базе районной больницы города Туркестан, исследование нейропсихологического и интеллектуального расстройства пациентов по тестам «Mini-Cog», «Рисование часов» и «Опросник функциональной активности» (Lawton and Brody, 1969 г.), для определения стадии болезни.</w:t>
      </w:r>
      <w:r w:rsidR="007533D3" w:rsidRPr="004F5888">
        <w:rPr>
          <w:rFonts w:ascii="Times New Roman" w:hAnsi="Times New Roman" w:cs="Times New Roman"/>
          <w:sz w:val="28"/>
          <w:szCs w:val="28"/>
          <w:vertAlign w:val="superscript"/>
        </w:rPr>
        <w:t>21</w:t>
      </w:r>
    </w:p>
    <w:p w14:paraId="658395A9" w14:textId="77777777" w:rsidR="00E7415B" w:rsidRPr="004F5888" w:rsidRDefault="00E7415B"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Полное нейропсихологическое исследование позволяет выявить клинические особенности когнитивных нарушений и поставить топический диагноз</w:t>
      </w:r>
      <w:r w:rsidRPr="004F5888">
        <w:rPr>
          <w:rFonts w:ascii="Times New Roman" w:hAnsi="Times New Roman" w:cs="Times New Roman"/>
          <w:b/>
          <w:bCs/>
          <w:sz w:val="28"/>
          <w:szCs w:val="28"/>
        </w:rPr>
        <w:t>. Однако применение сложных тестов, увеличивая чувствительность метода, приводит к уменьшению специфичности полученных результатов, так как их выполнение в большой степени зависит от возраста и уровня образования больного</w:t>
      </w:r>
      <w:r w:rsidRPr="004F5888">
        <w:rPr>
          <w:rFonts w:ascii="Times New Roman" w:hAnsi="Times New Roman" w:cs="Times New Roman"/>
          <w:sz w:val="28"/>
          <w:szCs w:val="28"/>
        </w:rPr>
        <w:t>. Поэтому в амбулаторной практике во всём мире широко используются так называемые скрининговые нейропсихологические шкалы, которые позволяют подтвердить наличие когнитивных расстройств в целом и оценить их количественно. Примером такой скрининговой шкалы является «Краткая шкала оценки психического статуса» (англ. – MiniMental State Examination – MMSE). Для диагностики сосудистой деменции и ее отграничения от деменций альцгеймеровского типа применяется ишемическая шкала Хачински. Несмотря на очевидные недостатки (не улавливаются безынсультные формы деменции, что, прежде всего, относится к энцефалопатии Бинсвангера, а также смешанные сосудистые атрофические деменции), она позволяет проводить экспресс-диагностику основных форм деменций позднего возраста. Нейропсихологические методики применяются при диагностике, в первую очередь, мнестических расстройств при БА. Так, повышенная забывчивость на текущие события обычно бывает наиболее ранним признаком, выступая как моносимптом. В дальнейшем к нарушениям памяти присоединяются другие когнитивные нарушения – апрактоагностический синдром, речевые нарушения по типу амнестической или сенсорной афазии. При БА нарушаются все виды долговременной памяти: эпизодическая, семантическая, процедурная и непроизвольная. Снижаются также объем и время удержания следа в оперативной памяти. Ретроградная амнезия при БА нередко сопровождается выраженными конфабуляциями.</w:t>
      </w:r>
    </w:p>
    <w:p w14:paraId="041152A9" w14:textId="77777777" w:rsidR="00E7415B" w:rsidRPr="004F5888" w:rsidRDefault="00E7415B" w:rsidP="004F5888">
      <w:pPr>
        <w:spacing w:after="0" w:line="240" w:lineRule="auto"/>
        <w:rPr>
          <w:rFonts w:ascii="Times New Roman" w:hAnsi="Times New Roman" w:cs="Times New Roman"/>
          <w:b/>
          <w:sz w:val="28"/>
          <w:szCs w:val="28"/>
        </w:rPr>
      </w:pPr>
      <w:r w:rsidRPr="004F5888">
        <w:rPr>
          <w:rFonts w:ascii="Times New Roman" w:hAnsi="Times New Roman" w:cs="Times New Roman"/>
          <w:b/>
          <w:sz w:val="28"/>
          <w:szCs w:val="28"/>
        </w:rPr>
        <w:lastRenderedPageBreak/>
        <w:t>Вывод по первой главе</w:t>
      </w:r>
    </w:p>
    <w:p w14:paraId="279CC94E" w14:textId="77777777" w:rsidR="00E7415B" w:rsidRPr="004F5888" w:rsidRDefault="00E7415B"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Таким образом, учитывая распространенность болезни Альцгеймера, увеличение числа пожилых людей, экономические затраты и их динамику при прогрессировании заболевания необходимо усовершенствование организации геронтопсихиатрической помощи, поиск простых, доступных, современных методов ранней диагностики болезни Альцгеймера. Важное место при первичной и дифференциальной диагностике болезни Альцгеймера занимают методы нейровизуализации (МРТ, КТ). Возрастает роль психодиагностических методик в оценке психического статуса, особенно когнитивных функций и расстройств аффективного спектра – для верификации диагноза в соответствии с четко установленными МКБ-10 клиническими признаками деменции при болезни Альцгеймера.</w:t>
      </w:r>
    </w:p>
    <w:p w14:paraId="1383976C" w14:textId="20FDD59D" w:rsidR="00DF2BB5" w:rsidRPr="004F5888" w:rsidRDefault="00E7415B" w:rsidP="004F5888">
      <w:pPr>
        <w:spacing w:after="0" w:line="240" w:lineRule="auto"/>
        <w:rPr>
          <w:rFonts w:ascii="Times New Roman" w:hAnsi="Times New Roman" w:cs="Times New Roman"/>
          <w:b/>
          <w:bCs/>
          <w:sz w:val="28"/>
          <w:szCs w:val="28"/>
        </w:rPr>
      </w:pPr>
      <w:r w:rsidRPr="004F5888">
        <w:rPr>
          <w:rFonts w:ascii="Times New Roman" w:hAnsi="Times New Roman" w:cs="Times New Roman"/>
          <w:b/>
          <w:bCs/>
          <w:sz w:val="28"/>
          <w:szCs w:val="28"/>
        </w:rPr>
        <w:br w:type="page"/>
      </w:r>
    </w:p>
    <w:p w14:paraId="3A54CC19" w14:textId="2F84AED5" w:rsidR="00DF2BB5" w:rsidRPr="004F5888" w:rsidRDefault="00E42077" w:rsidP="004F5888">
      <w:pPr>
        <w:spacing w:after="0" w:line="240" w:lineRule="auto"/>
        <w:jc w:val="both"/>
        <w:rPr>
          <w:rFonts w:ascii="Times New Roman" w:hAnsi="Times New Roman" w:cs="Times New Roman"/>
          <w:b/>
          <w:bCs/>
          <w:sz w:val="28"/>
          <w:szCs w:val="28"/>
        </w:rPr>
      </w:pPr>
      <w:r w:rsidRPr="004F5888">
        <w:rPr>
          <w:rFonts w:ascii="Times New Roman" w:hAnsi="Times New Roman" w:cs="Times New Roman"/>
          <w:b/>
          <w:bCs/>
          <w:sz w:val="28"/>
          <w:szCs w:val="28"/>
        </w:rPr>
        <w:lastRenderedPageBreak/>
        <w:t>1.</w:t>
      </w:r>
      <w:r w:rsidR="00612968" w:rsidRPr="004F5888">
        <w:rPr>
          <w:rFonts w:ascii="Times New Roman" w:hAnsi="Times New Roman" w:cs="Times New Roman"/>
          <w:b/>
          <w:bCs/>
          <w:sz w:val="28"/>
          <w:szCs w:val="28"/>
        </w:rPr>
        <w:t>7</w:t>
      </w:r>
    </w:p>
    <w:p w14:paraId="6226A7F5" w14:textId="77777777" w:rsidR="00DF2BB5" w:rsidRPr="004F5888" w:rsidRDefault="00DF2BB5" w:rsidP="004F5888">
      <w:pPr>
        <w:spacing w:after="0" w:line="240" w:lineRule="auto"/>
        <w:jc w:val="both"/>
        <w:rPr>
          <w:rFonts w:ascii="Times New Roman" w:hAnsi="Times New Roman" w:cs="Times New Roman"/>
          <w:b/>
          <w:bCs/>
          <w:sz w:val="28"/>
          <w:szCs w:val="28"/>
        </w:rPr>
      </w:pPr>
      <w:r w:rsidRPr="004F5888">
        <w:rPr>
          <w:rFonts w:ascii="Times New Roman" w:hAnsi="Times New Roman" w:cs="Times New Roman"/>
          <w:b/>
          <w:bCs/>
          <w:sz w:val="28"/>
          <w:szCs w:val="28"/>
        </w:rPr>
        <w:t>Инструменты оценки когнитивных функций</w:t>
      </w:r>
    </w:p>
    <w:p w14:paraId="04B77DB7" w14:textId="04826F01"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Выбор критериев оценки в клинических исследованиях является актуальной проблемой, так как качество проведенного исследования и его доказательная составляющая имеют ключевое значение для эффективности и безопасности применения лекарственного средства . Использование валидированных шкал, применяемых в клинических исследованиях, имеет крайне важное значение в исследованиях терапевтической эквивалентности воспроизведенных препаратов и биоаналогичных лекарственных средств с референтными препаратами</w:t>
      </w:r>
    </w:p>
    <w:p w14:paraId="0E5E788D" w14:textId="77777777"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Для оценки когнитивных функций используются нейропсихологические методы исследования. Они представляют собой различные тесты и пробы на запоминание и воспроизведение слов и рисунков, узнавание образов, решение интеллектуальных задач, исследование движений. Полное нейропсихологическое исследование позволяет выявить клинические особенности когнитивных нарушений с целью разработки критериев включения пациентов в клинические исследования и определения динамики их состояния в процессе проведения клинического исследования. В то же время расстройства тревожно-депрессивного спектра могут являться причиной субъективной забывчивости, что требует проведения дифференциальной диагностики с истинным когнитивным нарушением. Грамотное использование нейропсихологического исследования когнитивных функций позволяет применять результаты оценки когнитивных функций в качестве критериев эффективности терапевтического вмешательства.</w:t>
      </w:r>
    </w:p>
    <w:p w14:paraId="59436CFF" w14:textId="79E1E287"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Тесты, используемые в клинической нейропсихологии, в большинстве случаев описывают один или более аспектов когнитивных доменов, представляющих собой теоретические конструкты, в которые вовлечены сразу несколько когнитивных процессов. К примеру, тест памяти, в котором присутствуют серии слов для запоминания, направлен на определение вербальной функции памяти как компонента когнитивного домена памяти. При этом в тесте типично задействованы такие процессы, как внимание, кодирование информации, консолидация, хранение и извлечение информации. Тест базируется на слуховом восприятии и обработке речевых сигналов. Часто используется следующая широкая классификация когнитивных доменов: обучение и память, исполнительная функция, внимание и скорость обработки информации, праксис, моторные функции, язык и восприятие. В добавление к вышеописанному, интеллект часто считается отдельным доменом, который отражает общие когнитивные способности индивида, основанные на вышеприведенных индивидуальных доменах. При оценке когнитивных дефицитов определяют, насколько у пациента или группы пациентов имеются когнитивные нарушения (КН) в сравнении с референтной группой и характер этих нарушений: существуют ли избирательные дефициты одной или более когнитивных функций или домена. Путем определения сочетания когнитивных дефицитов исследователь может соотнести эту информацию с церебральной дисфункцией в общем (диффузные изменения) или специфическими поражениями в работе определенных отделов головного мозга (фокальные изменения). Хотя нейропсихологическое исследование само по себе не способно определить, присутствуют ли у пациента органические </w:t>
      </w:r>
      <w:r w:rsidRPr="004F5888">
        <w:rPr>
          <w:rFonts w:ascii="Times New Roman" w:hAnsi="Times New Roman" w:cs="Times New Roman"/>
          <w:sz w:val="28"/>
          <w:szCs w:val="28"/>
        </w:rPr>
        <w:lastRenderedPageBreak/>
        <w:t>поражения, а также точно определить сторону и локализацию повреждения, оно предоставляет информацию о когнитивных функциях, которая интерпретируется в сочетании с другими диагностическими мероприятиями, например, данными нейровизуализации или клиническими данными. Нейропсихологическое исследование может проводиться с использованием двух подходов. В первом инструменты когнитивного скрининга используются для установления различий между здоровыми людьми и пациентами со специфическими нарушениями, такими как деменция при болезни Альцгеймера, дисфункция передней лобной доли или афазия. Во втором несколько тестов, каждый из которых оценивает специфическую когнитивную функцию, назначаются в комбинациях для определения взаимосвязи со специфическим заболеванием головного мозга, нарушением развития или психиатрическим синдромом.</w:t>
      </w:r>
    </w:p>
    <w:p w14:paraId="04ABB3FC" w14:textId="13EB1B5C"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Скрининговые инструменты исследования когнитивных функций (КФ) представляют собой краткие процедуры оценки когнитивного статуса пациента в отношении предполагаемого заболевания или нарушения. Инструменты скрининга преследуют две цели: диагностика и отбор. С точки зрения диагностической ценности скрининговых тестов каждый из них должен обладать чувствительностью и специфичностью при оценке наличия у пациента предполагаемого нарушения. Например, при скрининге в отношении деменции тест должен обладать достаточной чувствительностью по отношению к наличию деменции даже при условии, что пациент находится в ранних стадиях патологического про- Критерии оценки когнитивных нарушений в клинических исследованиях, при этом тест должен быть достаточно специфичным, чтобы не генерировать неприемлемо высокое число ложноположительных диагностических результатов.</w:t>
      </w:r>
    </w:p>
    <w:p w14:paraId="4A2473E8" w14:textId="02B0FB07"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Наиболее известным инструментом для скрининга когнитивных нарушений у взрослых является шкала MMSE, разработанная для диагностики пациентов с деменцией при болезни Альцгеймера и включающая в себя шкалы для оценки ориентации в пространстве, памяти, вербальных способностей, способности к счету, праксиса и визиоконструктивных способностей. Другие инструменты, такие как батарея тестов FAB и монреальский опросник MoCA, направлены на регистрацию умеренных когнитивных нарушений (УКН). Скрининговые инструменты обладают рядом важных ограничений. Прежде всего обычно они специфичны для определенного заболевания, т.е. разработаны для скрининга наличия специфических отклонений и нарушений. В результате данные тесты оценивают только когнитивные процессы, которые относятся к данному расстройству, и не применимы для широкой оценки КФ, так как в них могут отсутствовать элементы исследования специфических когнитивных доменов. Кроме того, большинство скрининговых тестов устанавливают границы получаемых результатов, которые не учитывают (или учитывают лишь частично) эффекты возраста и образовательного уровня, в то время как эти параметры являются важными предикторами КФ. В недавнем исследовании по оценке когнитивных скрининговых инструментов, по данным N. Carson и соавт. , проведена ревизия критериев применения монреальского опросника MoCA. Этот опросник является когнитивным инструментом, который нацелен на дифференциацию между естественным когнитивным снижением в популяции </w:t>
      </w:r>
      <w:r w:rsidRPr="004F5888">
        <w:rPr>
          <w:rFonts w:ascii="Times New Roman" w:hAnsi="Times New Roman" w:cs="Times New Roman"/>
          <w:sz w:val="28"/>
          <w:szCs w:val="28"/>
        </w:rPr>
        <w:lastRenderedPageBreak/>
        <w:t>стареющего населения и проявлениями умеренных когнитивных нарушений. Несколько валидационных исследований проводилось с тестом MoCA в разных клинических группах пациентов. Также было показано, что изначально предложенные отсекающие точки в 26/30 приводят к появлению большого числа ложноположительных результатов, особенно в выборке лиц пожилого возраста или у лиц с низким уровнем образования. Теми же авторами было проведено систематизированное исследование литературных данных с целью определения диагностической точности применения теста MoCA для дифференциации между когнитивным угасанием и развитием УКН. В соответствии с критериями метаанализа из 304 исследований было отобрано девять. В этих исследованиях был проведен анализ разброса пограничных значений результата теста для определения чувствительности, специфичности, положительной и отрицательной предсказательной способности теста, ожидаемых отношений для положительных и отрицательных результатов, чувствительности классифицируемых показателей и индексов Юдена. В результате проведенного исследования было установлено, что пограничное значение теста MoCA, составляющее 23, а не предложенное ранее значение 26, снижает частоту ложноположительных результатов и имеет более надежную диагностическую ценность и точность . Именно этими значениями следует руководствоваться при отборе пациентов в клинические исследования и оценке их когнитивных способностей на фоне терапевтического вмешательства при использовании тестов MoCA.</w:t>
      </w:r>
    </w:p>
    <w:p w14:paraId="737F6F4F" w14:textId="2877BA23"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НЕЙРОПСИХОЛОГИЧЕСКИЕ ТЕСТЫ И ДОМЕНЫ Нейропсихологические тесты измеряют когнитивные функции независимо от медицинского диагноза субъекта тестирования. В таблице 1 указаны когнитивные домены и приводятся примеры тестов, которые могут быть использованы для изучения этих доменов. Различные тесты используются для детей, подростков, взрослых разных возрастов, пожилых пациентов, и список постоянно пополняется за счет разработки новых и модификации уже существующих тестов. Каждый специфический тест имеет свои слабые и сильные стороны, но схожие когнитивные процессы измеряются тестами с идентичными принципами. Тесты представляются пациентам либо в формате «бумага—карандаш», либо в виде компьютеризированной задачи. Формат «бумага—карандаш» наиболее часто используется в практике клинических исследований. Психометрические свойства большинства тестов этого формата детально изучены и валидированы, когда применение этих тестов происходит в стандартизированных условиях (т.е. руководствуясь специфическими инструкциями, приведенными в аннотации к назначению конкретного психометрического теста). Преимущества тестов «бумага—карандаш» в том, что они могут проводиться без специальных условий, а недостатками является то, что исследователь должен постоянно присутствовать в момент теста и оценка времени выполнения задач с помощью секундомера может быть недостоверной. Компьютеризированные тесты высоко стандартизированы, но их недостатки в том, что субъекты, не обладающие достаточными навыками работы с вычислительной техникой, могут показывать худшие, чем на самом деле, результаты. Более современные разработки, такие как сенсорные экраны и планшетные компьютеры, могут помочь в преодолении данной </w:t>
      </w:r>
      <w:r w:rsidRPr="004F5888">
        <w:rPr>
          <w:rFonts w:ascii="Times New Roman" w:hAnsi="Times New Roman" w:cs="Times New Roman"/>
          <w:sz w:val="28"/>
          <w:szCs w:val="28"/>
        </w:rPr>
        <w:lastRenderedPageBreak/>
        <w:t xml:space="preserve">проблемы. В целом компьютеризированные тесты в значительно меньшей степени описаны и валидированы, чем тесты формата «бумага—карандаш», и адекватные нормативные показатели для таких тестов зачастую отсутствуют. При выборе нейропсихологических тестов необходимо учитывать возраст пациента. Некоторые тесты были специально разработаны для исследования нарушения развития у детей и подростков, тогда как другие тесты нацелены на работу с субъектами среднего возраста и пожилыми людьми. Более того, на выбор характеристик и формы нейропсихологического тестирования оказывает влияние тот когнитивный домен, который требуется оценить. Для изучения домена памяти тесты требуют от пациента запоминания чисел, слов, изображений или коротких сегментов информации, которые необходимо вспомнить после длительного или короткого периода времени либо выбрать из массы других примеров. Высшие когнитивные процессы, такие как планирование, самооценка, переключение между задачами и ингибирование ответа, группируются под определением исполнительных функций. Исполнительные функции изучаются путем применения задач, которые являются новыми для субъекта или требуют контролируемой (в отличие от автоматической) обработки (например, планирование маршрута на карте, следуя определенным правилам). Внимание и скорость обработки информации обычно изучаются с помощью тестов скорости реакции или иных заданий, ограниченных по времени исполнения, что требует от субъекта исследования генерировать ответы как можно быстрее. Если такие задачи должны выполняться в течение длительного периода времени, они затрагивают концентрацию (длительное внимание). В вербальном домене изучают понимание, формирование речи, называние картинок вслух и повторения, а также чтение и письмо. Праксис и моторные функции изучаются с использованием задач, которые требуют от субъекта выполнения действий по вербальным командам или по тестам рисования, таким как свободное рисование или копирование оригинала. Восприятие в большинстве случаев измеряется с помощью визуальных задач, в которых изображения часто встречающихся или незнакомых объектов демонстрируются субъектам, при этом изображения могут наслаиваться друг на друга или быть представленными под необычными углами зрения для диагностики агнозии. Использование компьютеризированной оценки нейрокогнитивных функций широко входит в практику клинических исследований. По данным A.S. Vincent и соавт. , было проведено исследование надежности в условиях повторного проведения тестирования КФ и практической применимости батареи тестов ANAM GNS у 94 здоровых добровольцев. Результаты оценивались, а затем тестирование повторялось через 30 дней. Надежность повторного тестирования, эффект привыкания к тесту и стандартные ошибки проведения теста проверялись в контрольных точках. Прецизионность в условиях повторного применения теста ANAM составила 0,91 для композитного результата теста. Пороговый критерий, определяющий изменения, выходящие за рамки случайных значений или погрешности измерения с 90 % значимостью, составил 0,9 (значение Z-score). Таким образом, указано, что батарея ANAM GNS обладает превосходными параметрами по фактору надежности повторного применения в течение 30 дней. Небольшие эффекты привыкания могут присутствовать. Изменения более 0,9 стандартных отклонений в композитном </w:t>
      </w:r>
      <w:r w:rsidRPr="004F5888">
        <w:rPr>
          <w:rFonts w:ascii="Times New Roman" w:hAnsi="Times New Roman" w:cs="Times New Roman"/>
          <w:sz w:val="28"/>
          <w:szCs w:val="28"/>
        </w:rPr>
        <w:lastRenderedPageBreak/>
        <w:t xml:space="preserve">значении балла ANAM будут отражать клинически значимое изменение в условиях проведения клинических исследований и/или терапевтических мероприятий [9]. Шкала Векслера для взрослых WAIS-IV и подшкалы RDS, RDS-R и ACSS были валидированы и используются с внутренним контролем валидности тестирования (PVTs), хотя исследования проводились в основном на молодых субъектах (средний возраст 19–35 лет) с легкой травмой головного мозга или на здоровых добровольцах. В данных тестах изучается способность пациента к корректному воспроизведению максимально длинной цепочки цифр (или букв) в прямом и обратном порядке, и результаты теста представляют собой число верно воспроизведенных цифр (или букв). </w:t>
      </w:r>
    </w:p>
    <w:p w14:paraId="30E116D7" w14:textId="77777777" w:rsidR="005F6422"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При выборе нейропсихологических тестов необходимо учитывать возраст пациента. Некоторые тесты были специально разработаны для исследования нарушения развития у детей и подростков, тогда как другие тесты нацелены на работу с субъектами среднего возраста и пожилыми людьми. Более того, на выбор характеристик и формы нейропсихологического тестирования оказывает влияние тот когнитивный домен, который требуется оценить. Для изучения домена памяти тесты требуют от пациента запоминания чисел, слов, изображений или коротких сегментов информации, которые необходимо вспомнить после длительного или короткого периода времени либо выбрать из массы других примеров. Высшие когнитивные процессы, такие как планирование, самооценка, переключение между задачами и ингибирование ответа, группируются под определением исполнительных функций. Исполнительные функции изучаются путем применения задач, которые являются новыми для субъекта или требуют контролируемой (в отличие от автоматической) обработки (например, планирование маршрута на карте, следуя определенным правилам). Внимание и скорость обработки информации обычно изучаются с помощью тестов скорости реакции или иных заданий, ограниченных по времени исполнения, что требует от субъекта исследования генерировать ответы как можно быстрее. Если такие задачи должны выполняться в течение длительного периода времени, они затрагивают концентрацию (длительное внимание).</w:t>
      </w:r>
    </w:p>
    <w:p w14:paraId="350C167F" w14:textId="117CDDA3"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 Широта исследования КФ и выбор когнитивных тестов у пациентов с деменцией значительно варьирует. Шкала MMSE была разработана и часто применяется в качестве скринингового инструмента для определения деменции . При этом краткость данной шкалы приводит лишь к поверхностному изучению памяти, языка и визуально-осязательной функции. Кроме того, скорость обработки информации и исполнительные функции данной шкалой не описываются. Данные систематических обзоров свидетельствуют о том, что шкала MMSE подходит для обнаружения деменции у субъектов с подозрением на КН. Шкала Адденбрука АСЕ является более широким инструментом исследования КФ, который включает в себя шкалу MMSE. Шкала АСЕ представляет собой батарею тестов, которая изучает все шесть когнитивных доменов. У субъектов с подозрением на КН шкала MMSE применяется для установки диагноза деменции. При этом первоначальное исследование КФ может быть углублено путем применения шкалы АСЕ. Опросник информанта о когнитивном снижении у пожилых IQCODE заполняется родственником или опекуном пациента и может являться важным дополнением к прямому тестированию </w:t>
      </w:r>
      <w:r w:rsidRPr="004F5888">
        <w:rPr>
          <w:rFonts w:ascii="Times New Roman" w:hAnsi="Times New Roman" w:cs="Times New Roman"/>
          <w:sz w:val="28"/>
          <w:szCs w:val="28"/>
        </w:rPr>
        <w:lastRenderedPageBreak/>
        <w:t xml:space="preserve">КФ1 . В метаанализе 149 исследований с участием пациентов с деменцией, проведенном K.K. Tsoi и соавт. , сравнивалась эффективность разных инструментов исследования КФ в определении критериев нарушения когнитивной функции. Анализировались исследования, в которых пациенты интервьюировались лицом к лицу с исследователем с помощью скрининговых тестов, и находки соотносились со стандартными критериями диагностики деменции. Использовались бивариантные модели случайных эффектов, а применимость тестовых инструментов для определения когнитивных нарушений измерялась по площади под кривой, выстроенной исследователем по точкам, характеризующим когнитивные домены. Главными конечными точками являлись чувствительность, специфичность, соотношение положительных и отрицательных вероятностей. В проведенных исследованиях было применено одиннадцать скрининговых тестов (MMSE, CDT, Mini-Cog, MIS, VF-test, AMT, GPCOG, MoCA, ACE-R, IQCODE, 3MS) и включено более 49 000 пациентов. В наибольшем количестве клинических исследований использовался тест MMSE (n = 102), с помощью которого были протестированы 10263 пациента с деменцией. Суммарная чувствительность и специфичность использованных тестов у пациентов с деменцией в этих исследованиях составила 0,82 (95 % доверительный интервал от 0,78 до 0,84) и 0,89 (95 % доверительный интервал от 0,87 до 0,91) соответственно. Из остальных десяти тестов, используемых в клинических исследованиях, наиболее всесторонне оценивающими КН были тест MiniCog (0,91 чувствительность и 0,86 специфичность) и пересмотренная шкала Адденбрука ACE-R (0,92 чувствительность и 0,89 специфичность), которые сравнимы с диагностической мощностью MMSE. Анализ в подгруппах показал, что только монреальский опросник MoCA был сравним с опросником MMSE по способности регистрировать умеренные когнитивные нарушения с 0,98 чувствительностью и 0,75 специфичностью. Таким образом, по мнению исследователей, при выборе инструментов нейропсихологического тестирования следует помнить, что существует множество тестов со сравнимой диагностической мощностью для оценки степени нарушения КФ при деменции. Наилучшими для оценки деменции являются тесты Mini-Cog и ACE-R, а для умеренного когнитивного нарушения — монреальский опросник MoCA. При оценке эффективности скрининговых инструментов для определения когнитивных изменений у пожилых J.S. Lin и соавт.  были проанализированы результаты клинических исследований, в которых тестирование КФ проводилось для оценки эффективности терапии, скорости снижения КФ или выбора критериев включения в исследование. Большинство исследований использовало шкалы опросника MMSE для количественной оценки нарушения когнитивных функций в целом или только в определенных когнитивных доменах. Было выбрано 14 исследований с привлечением в общей сложности 10 185 человек, в которых шкала MMSE использовалась на этапе скрининга (вопросы 1–3). Тестирование имело чувствительность 88,3 % (95 % доверительный интервал от 81,3 до 92,9), специфичность 86,2 % (95 % доверительный интервал от 81,8 до 89,7) с пороговым значением 23 из 24 баллов или 24 из 25 баллов (в зависимости от используемого варианта шкалы) в распознавании деменции. Другие инструменты с более лимитированной способностью к выявлению деменции включали в себя CDT, </w:t>
      </w:r>
      <w:r w:rsidRPr="004F5888">
        <w:rPr>
          <w:rFonts w:ascii="Times New Roman" w:hAnsi="Times New Roman" w:cs="Times New Roman"/>
          <w:sz w:val="28"/>
          <w:szCs w:val="28"/>
        </w:rPr>
        <w:lastRenderedPageBreak/>
        <w:t>Mini-Cog, MIS, опросник SPMSQ, тест FCSRT, 3MS, интервью TICS, опросник IQCODE. В целом все тесты обладали достаточной информативностью, и их результаты могут быть использованы в качестве критериев оценки нарушений КФ, но широта специфичности и чувствительности тестов между исследованиями обусловлена клинической гетерогенностью.</w:t>
      </w:r>
    </w:p>
    <w:p w14:paraId="2BC7C89A" w14:textId="0406E49B" w:rsidR="00DF2BB5" w:rsidRPr="004F5888" w:rsidRDefault="00DF2BB5" w:rsidP="004F5888">
      <w:pPr>
        <w:spacing w:after="0" w:line="240" w:lineRule="auto"/>
        <w:jc w:val="both"/>
        <w:rPr>
          <w:rFonts w:ascii="Times New Roman" w:hAnsi="Times New Roman" w:cs="Times New Roman"/>
          <w:sz w:val="28"/>
          <w:szCs w:val="28"/>
          <w:vertAlign w:val="superscript"/>
        </w:rPr>
      </w:pPr>
      <w:r w:rsidRPr="004F5888">
        <w:rPr>
          <w:rFonts w:ascii="Times New Roman" w:hAnsi="Times New Roman" w:cs="Times New Roman"/>
          <w:sz w:val="28"/>
          <w:szCs w:val="28"/>
        </w:rPr>
        <w:t xml:space="preserve">Контролируемые клинические исследования с применением шкалы MIS и теста AMT демонстрируют низкую чувствительность. Шкалы </w:t>
      </w:r>
      <w:r w:rsidRPr="004F5888">
        <w:rPr>
          <w:rFonts w:ascii="Times New Roman" w:hAnsi="Times New Roman" w:cs="Times New Roman"/>
          <w:sz w:val="28"/>
          <w:szCs w:val="28"/>
          <w:lang w:val="en-US"/>
        </w:rPr>
        <w:t>AMT</w:t>
      </w:r>
      <w:r w:rsidRPr="004F5888">
        <w:rPr>
          <w:rFonts w:ascii="Times New Roman" w:hAnsi="Times New Roman" w:cs="Times New Roman"/>
          <w:sz w:val="28"/>
          <w:szCs w:val="28"/>
        </w:rPr>
        <w:t xml:space="preserve">, </w:t>
      </w:r>
      <w:r w:rsidRPr="004F5888">
        <w:rPr>
          <w:rFonts w:ascii="Times New Roman" w:hAnsi="Times New Roman" w:cs="Times New Roman"/>
          <w:sz w:val="28"/>
          <w:szCs w:val="28"/>
          <w:lang w:val="en-US"/>
        </w:rPr>
        <w:t>SPMSQ</w:t>
      </w:r>
      <w:r w:rsidRPr="004F5888">
        <w:rPr>
          <w:rFonts w:ascii="Times New Roman" w:hAnsi="Times New Roman" w:cs="Times New Roman"/>
          <w:sz w:val="28"/>
          <w:szCs w:val="28"/>
        </w:rPr>
        <w:t xml:space="preserve">, </w:t>
      </w:r>
      <w:r w:rsidRPr="004F5888">
        <w:rPr>
          <w:rFonts w:ascii="Times New Roman" w:hAnsi="Times New Roman" w:cs="Times New Roman"/>
          <w:sz w:val="28"/>
          <w:szCs w:val="28"/>
          <w:lang w:val="en-US"/>
        </w:rPr>
        <w:t>FCRST</w:t>
      </w:r>
      <w:r w:rsidRPr="004F5888">
        <w:rPr>
          <w:rFonts w:ascii="Times New Roman" w:hAnsi="Times New Roman" w:cs="Times New Roman"/>
          <w:sz w:val="28"/>
          <w:szCs w:val="28"/>
        </w:rPr>
        <w:t>, 7</w:t>
      </w:r>
      <w:r w:rsidRPr="004F5888">
        <w:rPr>
          <w:rFonts w:ascii="Times New Roman" w:hAnsi="Times New Roman" w:cs="Times New Roman"/>
          <w:sz w:val="28"/>
          <w:szCs w:val="28"/>
          <w:lang w:val="en-US"/>
        </w:rPr>
        <w:t>MS</w:t>
      </w:r>
      <w:r w:rsidRPr="004F5888">
        <w:rPr>
          <w:rFonts w:ascii="Times New Roman" w:hAnsi="Times New Roman" w:cs="Times New Roman"/>
          <w:sz w:val="28"/>
          <w:szCs w:val="28"/>
        </w:rPr>
        <w:t xml:space="preserve"> и </w:t>
      </w:r>
      <w:r w:rsidRPr="004F5888">
        <w:rPr>
          <w:rFonts w:ascii="Times New Roman" w:hAnsi="Times New Roman" w:cs="Times New Roman"/>
          <w:sz w:val="28"/>
          <w:szCs w:val="28"/>
          <w:lang w:val="en-US"/>
        </w:rPr>
        <w:t>TICS</w:t>
      </w:r>
      <w:r w:rsidRPr="004F5888">
        <w:rPr>
          <w:rFonts w:ascii="Times New Roman" w:hAnsi="Times New Roman" w:cs="Times New Roman"/>
          <w:sz w:val="28"/>
          <w:szCs w:val="28"/>
        </w:rPr>
        <w:t xml:space="preserve"> имеют низкую </w:t>
      </w:r>
      <w:r w:rsidR="00E82737" w:rsidRPr="004F5888">
        <w:rPr>
          <w:rFonts w:ascii="Times New Roman" w:hAnsi="Times New Roman" w:cs="Times New Roman"/>
          <w:sz w:val="28"/>
          <w:szCs w:val="28"/>
        </w:rPr>
        <w:t>до</w:t>
      </w:r>
      <w:r w:rsidRPr="004F5888">
        <w:rPr>
          <w:rFonts w:ascii="Times New Roman" w:hAnsi="Times New Roman" w:cs="Times New Roman"/>
          <w:sz w:val="28"/>
          <w:szCs w:val="28"/>
        </w:rPr>
        <w:t xml:space="preserve">казательную мощность при использовании их на английском языке. Большей доказательной базой обладает использование инструментов, которые применяются для обнаружения умеренных когнитивных нарушений: MMSE, IQCODE, CDT, MiniCog, TICS и MoCA. Было указано, что другие инструменты, такие как 6CIT, VAT, GPCOG, IADLs, JLO, CIDS, SLUMS, CAMCI, обладают многообещающим потенциалом, при этом их эффективность в качестве критериев оценки КФ не была оценена в различных популяциях. На основании проведенных и опубликованных исследований применения донепезила, галантамина, ривастигмина, мемантина у пациентов с деменцией легкой и средней тяжести продемонстрировано, что эти препараты способны улучшать общую КФ у субъектов с болезнью Альцгеймера в краткосрочной перспективе. Тем не менее выраженность этих изменений невысока и равна приблизительно от 1 до 3 баллов по шкале ADAS-cog. Средний эффект таких изменений не является клинически значимым, что определено нормами для интерпретации значимости изменений (изменение по шкале ADAS-Cog в течение 6 месяцев). Ингибиторы ацетилхолинэстеразы (иАХЭ) вызывают устойчивое улучшение показателей глобальной функции у пациентов с болезнью Альцгеймера в краткосрочной перспективе. Согласно результатам повторного тестирования, исследования, изучающие другие препараты или пищевые добавки, включая низкие дозы ацетилсалициловой кислоты, ингибиторы HMG-CoA-редуктазы (симвастатин и аторвастатин), нестероидные противовоспалительные препараты (ибупрофен, напроксен, индометацин и целекоксиб), половые гормоны (эстроген совместно с прогестероном или без него и тестостерон), мультивитамины, витамины группы В, витамин Е (с витамином С или без него), омега-3-жирные кислоты, не продемонстрировали положительного влияния на глобальную когнитивную функцию у пациентов с легкой или средней тяжестью деменции или УКН. Ограничения когнитивного тестирования могут быть связаны с низкой воспроизводимостью результатов тестирования, различиями в оценке результатов тестирования, что может быть следствием различия между исследуемыми популяциями, неверного выбора точки пограничного значения нормы, а также отсутствия четкости и стандартизации в определении параметров диагностики умеренных когнитивных нарушений. Таким образом, клиническую значимость скрининговых тестов и их применимость для определения КН у пациентов с деменцией сложно назвать высокой. Несмотря на наличие широкого набора скрининговых тестов для оценки КФ, на практике используется лишь ограниченное количество тестов, опробованных и показавших свою эффективность в клинических исследованиях. Диагностические критерии деменции должны включать в себя надежные показатели нарушения КФ, измеренные с помощью когнитивных тестов. Интервью SIDAM в соответствии с этиологией </w:t>
      </w:r>
      <w:r w:rsidRPr="004F5888">
        <w:rPr>
          <w:rFonts w:ascii="Times New Roman" w:hAnsi="Times New Roman" w:cs="Times New Roman"/>
          <w:sz w:val="28"/>
          <w:szCs w:val="28"/>
        </w:rPr>
        <w:lastRenderedPageBreak/>
        <w:t xml:space="preserve">согласно диагностическим критериям DSM-III-R, DSM-IV и ICD-10 — это нейрофизиологический инструмент определения когнитивного статуса пациентов с УКН и деменцией. Нормативные данные по изменениям КФ, которые регистрируются у когнитивно интактных здоровых субъектов, требуются для интерпретации изменений в тестовых значениях интервью SIDAM. Так, для установления этих норм, по данным J. Stein и соавт. , было проведено исследование с привлечением 1090 субъектов с ненарушенной КФ, участвующих в исследовании старения, когнитивной функции и деменции в условиях первичного обращения (AgeCoDe), возрастом 75 лет и старше. КФ оценивалась 4 раза с интервалом 1,5 года в течение 4,5 лет с помощью теста SIDAM. Были рассчитаны индексы изменения с учетом возраста и уровня образования, которые имели поправки на ошибку измерения и адаптацию субъекта исследования к назначению тестирования, а также их 90 % доверительные интервалы. Было показано, что во всех возрастных группах и подгруппах по уровню образования изменения по шкалам SIDAM в 3–5 пунктов представляют собой значительные и надежные показатели динамики КФ в пределах 90 % доверительных интервалов. Это позволяет стандартизировать оценку изменений КФ у пациентов с деменцией с использованием шкал SIDAM в клинических исследованиях в динамике терапевтического вмешательства . Диагностика степени деменции и ее динамики при проведении клинических исследований включает в себя измерение параметров нарушения КФ с течением времени с помощью объективных когнитивных тестов. Нормативные данные для таких изменений, на которые следует ориентироваться, адаптированные к воздействию социодемографических параметров, оказывающих влияние на результаты когнитивных тестов, были разработаны для широко используемого инструмента нейропсихологического тестирования — шкалы MMSE в исследовании AgeCoDe с участием пациентов возрастом 75 лет и более в течение 4,5 лет с интервалом 1,5 года. Указано, что возраст и уровень образования оказывали значимое влияние на результаты тестирования, при этом пол субъектов влияния не оказывал. Изменения в результатах теста MMSE в 2–3 балла являются значимыми и достоверными в пределах 90 % доверительных интервалов. Более того, были рассчитаны возрастные индексы и индексы образования в приложении к тесту MMSE . Нормативные данные для использования шкалы CERAD-NP были установлены J. Stein и соавт. в долговременном исследовании продолжительностью 3 года с повторными измерениями каждые 1,5 года. Тестирование проводилось в рамках исследования пожилых пациентов AgeCoDe с привлечением 1450 пациентов возрастом 75 лет и более. Без учета показателей возраста, образования, пола было установлено, что изменения в показателях шкалы CERAD-NP от 6 до 9 пунктов при оценке вербальных способностей, от 4 до 8 пунктов при запомина- Критерии оценки когнитивных нарушений в клинических исследованиях списка слов от 2 до 4 пунктов в воспроизведении списка слов и от 1 до 4 пунктов в тесте узнавания списка слов являются значимыми и достоверными признаками динамики КФ в пределах 90 % доверительных интервалов. Меньшие изменения в результатах тестирования с помощью теста CERAD-NP следует интерпретировать с большой осторожностью, так как имеются вероятности ошибки </w:t>
      </w:r>
      <w:r w:rsidRPr="004F5888">
        <w:rPr>
          <w:rFonts w:ascii="Times New Roman" w:hAnsi="Times New Roman" w:cs="Times New Roman"/>
          <w:sz w:val="28"/>
          <w:szCs w:val="28"/>
        </w:rPr>
        <w:lastRenderedPageBreak/>
        <w:t xml:space="preserve">измерения, эффекта привыкания к выполнению теста со стороны субъекта тестирования и наличия нормального возрастного снижения КФ </w:t>
      </w:r>
      <w:r w:rsidR="007533D3" w:rsidRPr="004F5888">
        <w:rPr>
          <w:rFonts w:ascii="Times New Roman" w:hAnsi="Times New Roman" w:cs="Times New Roman"/>
          <w:sz w:val="28"/>
          <w:szCs w:val="28"/>
          <w:vertAlign w:val="superscript"/>
        </w:rPr>
        <w:t>22</w:t>
      </w:r>
    </w:p>
    <w:p w14:paraId="2A6773D8" w14:textId="77777777" w:rsidR="00DF2BB5" w:rsidRPr="004F5888" w:rsidRDefault="00DF2BB5" w:rsidP="004F5888">
      <w:pPr>
        <w:spacing w:after="0" w:line="240" w:lineRule="auto"/>
        <w:jc w:val="both"/>
        <w:rPr>
          <w:rFonts w:ascii="Times New Roman" w:hAnsi="Times New Roman" w:cs="Times New Roman"/>
          <w:sz w:val="28"/>
          <w:szCs w:val="28"/>
        </w:rPr>
      </w:pPr>
    </w:p>
    <w:p w14:paraId="5DD3EC46" w14:textId="77777777"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noProof/>
          <w:sz w:val="28"/>
          <w:szCs w:val="28"/>
          <w:lang w:val="en-US"/>
        </w:rPr>
        <w:drawing>
          <wp:inline distT="0" distB="0" distL="0" distR="0" wp14:anchorId="5C60A586" wp14:editId="02BAE1EC">
            <wp:extent cx="6480175" cy="3999230"/>
            <wp:effectExtent l="0" t="0" r="0" b="1270"/>
            <wp:docPr id="3" name="Рисунок 3" descr="Изображение выглядит как стол&#10;&#10;Автоматически созданное описание">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a:extLst>
                        <a:ext uri="{C183D7F6-B498-43B3-948B-1728B52AA6E4}">
                          <adec:decorative xmlns:adec="http://schemas.microsoft.com/office/drawing/2017/decorative"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480175" cy="3999230"/>
                    </a:xfrm>
                    <a:prstGeom prst="rect">
                      <a:avLst/>
                    </a:prstGeom>
                  </pic:spPr>
                </pic:pic>
              </a:graphicData>
            </a:graphic>
          </wp:inline>
        </w:drawing>
      </w:r>
    </w:p>
    <w:p w14:paraId="5B692091" w14:textId="77777777" w:rsidR="000A3542" w:rsidRPr="004F5888" w:rsidRDefault="000A3542" w:rsidP="004F5888">
      <w:pPr>
        <w:pStyle w:val="aa"/>
        <w:shd w:val="clear" w:color="auto" w:fill="FFFFFF"/>
        <w:spacing w:before="0" w:beforeAutospacing="0" w:after="0" w:afterAutospacing="0"/>
        <w:jc w:val="both"/>
        <w:rPr>
          <w:b/>
          <w:bCs/>
          <w:color w:val="444444"/>
          <w:sz w:val="28"/>
          <w:szCs w:val="28"/>
        </w:rPr>
      </w:pPr>
      <w:r w:rsidRPr="004F5888">
        <w:rPr>
          <w:b/>
          <w:bCs/>
          <w:color w:val="444444"/>
          <w:sz w:val="28"/>
          <w:szCs w:val="28"/>
        </w:rPr>
        <w:t>11 декабря 2017 года Европейская комиссия опубликовала новые стандарты раннего выявления болезни Альцгеймера. Сертифицированный справочный материал по биомаркерам болезни Альцгеймера разработан Объединенным исследовательским центром Комиссии ЕС в сотрудничестве с Международной ассоциацией клинической химии и лабораторной медицины (IFCC) и Ассоциацией Альцгеймера. Он позволит более точно поставить диагноз и облегчит разработку новых лекарств для лечения данного заболевания. Одним из важнейших биомаркеров в диагностике болезни Альцгеймера является β-амилоид 1-42. Уровень данного пептида в спиномозговой жидкости увеличиваются за десять лет до появления первых симптомов. Сертифицированный справочный материал послужит основой для для контроля качества и калибровки рутинных методов. Для биомаркера амилоида-β 1-42 разработан набор сертифицированных эталонных материалов ERM-DA480 / IFCC, ERM-DA481 / IFCC и ERM-DA482 / IFCC, которые могут быть получены через каталог JRC.  </w:t>
      </w:r>
    </w:p>
    <w:p w14:paraId="6B133051" w14:textId="77777777" w:rsidR="000A3542" w:rsidRPr="004F5888" w:rsidRDefault="000A3542" w:rsidP="004F5888">
      <w:pPr>
        <w:pStyle w:val="aa"/>
        <w:shd w:val="clear" w:color="auto" w:fill="FFFFFF"/>
        <w:spacing w:before="0" w:beforeAutospacing="0" w:after="0" w:afterAutospacing="0"/>
        <w:jc w:val="both"/>
        <w:rPr>
          <w:b/>
          <w:bCs/>
          <w:color w:val="444444"/>
          <w:sz w:val="28"/>
          <w:szCs w:val="28"/>
        </w:rPr>
      </w:pPr>
      <w:r w:rsidRPr="004F5888">
        <w:rPr>
          <w:b/>
          <w:bCs/>
          <w:color w:val="444444"/>
          <w:sz w:val="28"/>
          <w:szCs w:val="28"/>
        </w:rPr>
        <w:t xml:space="preserve">На сегодняшний день болезнь Альцгеймера является неизлечимой. По мнению ряда специалистов, многие клинические исследования потенциальных препаратов для лечения этого заболевания заканчиваются неудачей из-за слишком позднего начала терапии. Вполне возможно, что включение в клинические исследования пациентов с ранними стадиями болезни </w:t>
      </w:r>
      <w:r w:rsidRPr="004F5888">
        <w:rPr>
          <w:b/>
          <w:bCs/>
          <w:color w:val="444444"/>
          <w:sz w:val="28"/>
          <w:szCs w:val="28"/>
        </w:rPr>
        <w:lastRenderedPageBreak/>
        <w:t>Альцгеймера позволит найти препараты, замедляющие прогрессию заболевания. </w:t>
      </w:r>
    </w:p>
    <w:p w14:paraId="5A319054" w14:textId="77777777" w:rsidR="000A3542" w:rsidRPr="004F5888" w:rsidRDefault="000A3542" w:rsidP="004F5888">
      <w:pPr>
        <w:pStyle w:val="aa"/>
        <w:shd w:val="clear" w:color="auto" w:fill="FFFFFF"/>
        <w:spacing w:before="0" w:beforeAutospacing="0" w:after="0" w:afterAutospacing="0"/>
        <w:jc w:val="both"/>
        <w:rPr>
          <w:b/>
          <w:bCs/>
          <w:color w:val="444444"/>
          <w:sz w:val="28"/>
          <w:szCs w:val="28"/>
        </w:rPr>
      </w:pPr>
      <w:r w:rsidRPr="004F5888">
        <w:rPr>
          <w:b/>
          <w:bCs/>
          <w:color w:val="444444"/>
          <w:sz w:val="28"/>
          <w:szCs w:val="28"/>
        </w:rPr>
        <w:t>Болезнь Альцгеймера и другие формы деменции относятся к широкораспространенным заболеваниям. Государства-члены ЕС несут ответственность за предоставление медико-санитарной помощи и обеспечение ухода за пациентами с деменцией. В декабре 2015 года Совет министров принял </w:t>
      </w:r>
      <w:hyperlink r:id="rId17" w:history="1">
        <w:r w:rsidRPr="004F5888">
          <w:rPr>
            <w:rStyle w:val="a9"/>
            <w:b/>
            <w:bCs/>
            <w:color w:val="48A648"/>
            <w:sz w:val="28"/>
            <w:szCs w:val="28"/>
          </w:rPr>
          <w:t>политическую основу</w:t>
        </w:r>
      </w:hyperlink>
      <w:r w:rsidRPr="004F5888">
        <w:rPr>
          <w:b/>
          <w:bCs/>
          <w:color w:val="444444"/>
          <w:sz w:val="28"/>
          <w:szCs w:val="28"/>
        </w:rPr>
        <w:t> для поддержки пациентов с деменцией посредством улучшения политики и практики ухода. Ежегодные затраты на помощь пациентам с данной патологией в Европе достигают 167,5 млрд евро.  Существует также значительное влияние на тех, кто заботится о членах семьи с болезнью Альцгеймера или другими деменциями, которые могут вызвать эмоциональный стресс и депрессию.</w:t>
      </w:r>
    </w:p>
    <w:p w14:paraId="3A7ADEED" w14:textId="77777777" w:rsidR="000A3542" w:rsidRPr="004F5888" w:rsidRDefault="000A3542" w:rsidP="004F5888">
      <w:pPr>
        <w:pStyle w:val="aa"/>
        <w:shd w:val="clear" w:color="auto" w:fill="FFFFFF"/>
        <w:spacing w:before="0" w:beforeAutospacing="0" w:after="0" w:afterAutospacing="0"/>
        <w:jc w:val="both"/>
        <w:rPr>
          <w:b/>
          <w:bCs/>
          <w:color w:val="444444"/>
          <w:sz w:val="28"/>
          <w:szCs w:val="28"/>
        </w:rPr>
      </w:pPr>
      <w:r w:rsidRPr="004F5888">
        <w:rPr>
          <w:b/>
          <w:bCs/>
          <w:color w:val="444444"/>
          <w:sz w:val="28"/>
          <w:szCs w:val="28"/>
        </w:rPr>
        <w:t>В течение многих лет ЕС поддерживает исследования в области мозга через исследовательскую программу Horizon 2020, в рамках которой на финансирование 370 проектов уже потрачено 544 млн евро.</w:t>
      </w:r>
    </w:p>
    <w:p w14:paraId="0087237D" w14:textId="77777777" w:rsidR="000A3542" w:rsidRPr="004F5888" w:rsidRDefault="000A3542" w:rsidP="004F5888">
      <w:pPr>
        <w:spacing w:after="0" w:line="240" w:lineRule="auto"/>
        <w:jc w:val="both"/>
        <w:rPr>
          <w:rFonts w:ascii="Times New Roman" w:hAnsi="Times New Roman" w:cs="Times New Roman"/>
          <w:sz w:val="28"/>
          <w:szCs w:val="28"/>
        </w:rPr>
      </w:pPr>
    </w:p>
    <w:p w14:paraId="4D0FED6B" w14:textId="471C0AAB"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Проблема сферы и условий применения наиболее актуальна в отношении скрининговых инструментов и включает в себя несколько аспектов. Во-первых, как обсуждалось выше, сторонники нейрокогнитивного подхода хорошо осведомлены о том, что полученные показатели могут быть высокими или низкими более, чем по одной причине. Речь идет не только о разных условиях проведения обследования и особенностях пациента, но и об учете возможностей другой содержательной квалификации дефекта: например, ошибки могут быть вызваны истощаемостью, дефицитом регуляторных функций, замедленным пониманием инструкции и т. п. Поэтому при диагностике важно заметить и учесть (проверить) все эти факторы, многие из них – выявить и принять во внимание еще до начала обследования. Как следствие, возникает вопрос: может ли проводить обследование при помощи таких методик психолог, не имеющий необходимой нейропсихологической подготовки (например, бакалавр, помощник психолога) или специалист-непсихолог (например, фельдшер, медсестра)? Формально, процесс диагностики в рамках этого подхода, в отличие от синдромно-динамического анализа, требует меньшей квалификации от специалиста – и на практике скрининговое обследование часто проводит средний медицинский персонал. Преимуществом является возможность более широкого охвата пациентов и снижение экономических затрат. Однако сказанное выше означает, что обучение персонала и супервизия со стороны специалистанейропсихолога не являются формальными требованиями. Цель обучения – убедиться в стиле проведения обследования и научить выявлять все те факторы, которые могут повлиять на интерпретацию. Заключение по полученным результатам должен делать обученный этому методу специалист, потому что он компетентен в вопросах качественной интерпретации и постановки дальнейших задач. Во-вторых, у практиков (особенно у неспециалистов), нередко создается иллюзия, что скрининговые методики являются удобной и краткой «заменой» нейропсихологических батарей и нейропсихологического обследования в целом. На самом деле это не так. Скрининговые методики в нейропсихологии создавались для </w:t>
      </w:r>
      <w:r w:rsidRPr="004F5888">
        <w:rPr>
          <w:rFonts w:ascii="Times New Roman" w:hAnsi="Times New Roman" w:cs="Times New Roman"/>
          <w:sz w:val="28"/>
          <w:szCs w:val="28"/>
        </w:rPr>
        <w:lastRenderedPageBreak/>
        <w:t xml:space="preserve">специальных – довольно узких – задач раннего выявления риска серьезных заболеваний в популяции путем как можно более краткой и простой процедуры, и они применимы лишь в рамках этих задач (с разной степенью эффективности, разумеется). Согласно разработанным ВОЗ критериям скрининга3 (Wilson, Jungner, 1968), последний оправдан в случае, если заболевание является важной социальной проблемой, имеет предварительную стадию развития, которая доступна выявлению, причем должен существовать способ лечения, значительно более эффективный на именно этой предварительной стадии, а его эффективность обоснована как с точки зрения результативности способа и прогноза исхода заболевания, так и с точки зрения затрат. Этим критериям соответствует, например, деменция и не соответствуют локальные поражения мозга. Инсульт в определенных случаях может соответствовать этим критериям, например, в случае, если нет возможности обследовать всех пациентов в отделении, а важно отобрать тех, для кого нейропсихологическая реабилитация наиболее актуальна. При этом скрининг должен быть кратким (менее 15 минут) и простым, по возможности проводиться любым клиницистом и включать тесты на все основные когнитивные сферы – например, внимание, память, регуляторные функции, зрительно-пространственные навыки, язык и ориентация (Lerner, 2013). Заметим, что в своем сочетании эти требования означают, что качественная 4 квалификация нейропсихологических нарушений при применении скрининговых методик невозможна: поскольку каждая из сфер не может быть оценена надежно и полно за отведенное время. При этом результаты используются исключительно для выявления групп риска для их последующего более детального обследования (в том числе, нейропсихологического) – иными словами, фраза «проведение возможно любым клиницистом» правомерна только потому, что речь идет только об отнесении пациента по итогам скрининга к возможной группе риска для дальнейшего обследования. «Скрининг никогда не может заменить клинического интервью» – считают не только критики, но и сторонники скрининга (Lerner, 2013, p. 4), называя такой подход «уравнивание под одну гребенку» («one-size-fits-all») нецелесообразным. Однако для своих задач когнитивные скрининговые методики могут быть весьма эффективными: например, в отношении деменции они по меньшей мере так же, как и методы нейровизуализации (а порой даже лучше их ), предсказывают ухудшение состояния у пациентов (там же). 4 Термин употребляется в данном контексте не столько с целью сравнения с количественным методом квалификации, сколько для характеристики оценки результатов – прим. ред. В-третьих, скрининговые методики оправданы, только если: они относительно точны (в смысле сензитивности и специфичности, т.е. дают как можно меньше ошибок как по типу «промахов», так и по типу «ложных попаданий»). К сожалению, их точность существенно различается в зависимости от диагноза, задач (например, выявления группы риска или дифференциальной диагностики) и распространенности заболевания в исследуемой группе5 . Например, методика MMSE в плане диагностики не точнее нейропсихологического исследования единичного случая, но достаточно точна как скрининговый инструмент – особенно как инструмент исключения тех, кто не попадает в группу риска, и, особенно, если распространенность заболевания невелика (Mitchell, 2013). В клинике использование </w:t>
      </w:r>
      <w:r w:rsidRPr="004F5888">
        <w:rPr>
          <w:rFonts w:ascii="Times New Roman" w:hAnsi="Times New Roman" w:cs="Times New Roman"/>
          <w:sz w:val="28"/>
          <w:szCs w:val="28"/>
        </w:rPr>
        <w:lastRenderedPageBreak/>
        <w:t>MMSE в дополнение к основной диагностике практически не дает «выигрыша» в точности. Кроме того, большинство свидетельств в пользу сензитивности и специфичности MMSE получены в отношении деменции и легких когнитивных нарушений, несколько хуже показатели ее применения в отношении делирия. Наконец, MMSE вовсе не позволяет дифференцировать разные типы деменции. Так, в качестве примера, по данным метаанализа, использование MMSE в клинических условиях на пациентах с инсультом – практически неоправданно. Возможности MoCA более широки (Julayanont et al., 2013), хотя основной сферой ее применения остаются случаи деменции, болезни Альцгеймера и легких когнитивных нарушений. В частности, методика использовалась для диагностики когнитивных нарушений у пациентов с сердечно-сосудистыми заболеваниями, зависимостями от психоактивных веществ, обструктивным апноэ во сне, эпилепсией, пациентов в постинсультном периоде и др. Однако во всех этих случаях сензитивность и, особенно специфичность MoCA была ниже, чем при исследовании больных с деменциями. Например, при диагностике легких когнитивных нарушений по результатам реабилитации в стационаре для пожилых людей MoCA обладал хорошей сензитивностью (80 %) и низкой специфичностью (30 %): т.е. пациенты с когнитивными нарушениями по MoCA. Наконец, скрининговые инструменты при применении в нейропсихологической реабилитации могут быть направлены на разные задачи: постановки целей для дальнейших обследований, выявления мишеней для реабилитации, оценки динамики состояния и т.п. От целей и задач исследования зависит не только выбор конкретных инструментов, но и то, какие психометрические характеристики инструментария должны считаться ключевыми.</w:t>
      </w:r>
    </w:p>
    <w:p w14:paraId="7713FC75" w14:textId="19D219F1"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Апробация и валидизация скрининговых нейропсихологических шкал Если задача теоретического анализа применения инструмента в рамках другого нейропсихологического подхода, обсуждавшаяся выше, в том или ином исследовании может не ставиться, то задача валидизации нейропсихологических шкал стоит всегда как в случае авторской их разработки, так и в случае перевода и адаптации зарубежной версии. В последнем случае это представляется еще более важным, поскольку именно такое «психометрическое» понимание качества инструментов стоит «во главе угла» в нейрокогнитивном подходе, особенно в отношении скрининговых инструментов. К сожалению, доступность и возможность использования кажущегося «простым» инструментария нередко приводит к тому, этот этап подготовки методики для использования на другой популяции остается «не пройденным». В кросс-культурных исследованиях выделяют три варианта использования методик (He, van de Vijver, 2012): заимствование, адаптация и монтажирование6 . В первом случае осуществляется лишь перевод методики – и задача доказать лишь лингвистическую эквивалентность; во втором оцениваются психометрические характеристики для доказательства других типов эквивалентности. В третьем случае (который оправдан только в случае, если конструкт специфичен для культуры) разрабатывается новый диагностический инструмент «по образу и подобию» оригинала, но отвечающий требованиям языка и культуры. В российских исследованиях нередко не реализуется даже первый вариант – так, авторам настоящей публикации не известны опубликованные данные по </w:t>
      </w:r>
      <w:r w:rsidRPr="004F5888">
        <w:rPr>
          <w:rFonts w:ascii="Times New Roman" w:hAnsi="Times New Roman" w:cs="Times New Roman"/>
          <w:sz w:val="28"/>
          <w:szCs w:val="28"/>
        </w:rPr>
        <w:lastRenderedPageBreak/>
        <w:t>лингивистической эквивалентности русскоязычной версии MoCA ее оригиналу. Здесь важна оговорка: апробация представляет собой не просто лингвистический анализ и расчет психометрических показателей, но и доказательство эквивалентности национальной версии оригиналу (Byrne, 2016). Изменение, в том числе улучшение, диагностического инструмента (например, ради улучшения его психометрических характеристик) ведет к нарушению его эквивалентности оригиналу, а изменение системы интерпретации (например, при его применении в рамках системно-динамического подхода) следует считать модификацией. В чем опасность неизвестной эквивалентности (как, например, в случае с MoCA)? Исследователь не может быть уверен в том, что: 1) он на самом деле измеряет то же, что измеряет и оригинальная методика; 2) насколько он ошибается при измерении. Кроме того, невозможно учесть ошибки, связанные с влиянием заболевания, социодемографических и культурных факторов. Например, нормы и граничные значения MoCA (Julayanont et al., 2013) отличаются в разных культурах, зависят от образования, а у лиц с его низким уровнем – еще и от возраста. Использование граничных значений (например, 25/26) оказывается неинформативным, поскольку остается неизвестным, какой смысл несут такие значения в данной культуре, при данном заболевании и т.п. В чем опасность неэквивалентности «улучшенного» / измененного инструмента при его известных (хороших) психометрических показателях? Полученные результаты обследований и исследований невозможно сопоставить с результатами, полученными при помощи других версий – поскольку не исключено, что разница в результатах вызвана различиями между методиками, а не собственно психологическими различиями. Выделяется два основных типа (Byrne, 2016) эквивалентности инструментов: структурная (структура инструмента соответствует оригиналу, а сам инструмент измеряет один и тот же конструкт в разных культурах) и измерительная (тестовые задания / пункты имеют одинаковый смысл и в разных культурах относятся к тем же шкалам, и в той же степени).</w:t>
      </w:r>
    </w:p>
    <w:p w14:paraId="54C9057F" w14:textId="77777777"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ДЛЯ ВСТУПЛЕНИЯ ХОРОШО</w:t>
      </w:r>
    </w:p>
    <w:p w14:paraId="3EE4AFAE" w14:textId="046ACA1E"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Многообразие способов диагностики когнитивных расстройств сводится к двум основным направлениям. Первое направление – использование различных нейропсихологических шкал и опросников, среди которых наиболее хорошо в клинической практике зарекомендовали себя краткая шкала оценки психического статуса (КШОПС, MMSE – Mini Mental Scale Examination), MoCA-тест (Монреальская шкала оценки когнитивных функций, Montreal Cognitive Assessmnet), батарея лобной дисфункции (БЛД), тест рисования часов (ТРЧ) и ряд других [13]. Несмотря на продолжительное практическое использование перечисленных инструментов в диагностике когнитивных нарушений, все представленные тесты и шкалы имеют ряд общих ограничений и недостатков, связанных с недостаточной объективностью, сложностью количественной оценки и практического использования неподготовленным персоналом, низкой воспроизводимостью результатов при повторном их проведении. Вторая группа способов диагностики когнитивных расстройств представлена рядом методов инструментальной диагностики. Наиболее длительно в клинике когнитивных нарушений используются варианты методик оценки когнитивных вызванных потенциалов головного мозга . </w:t>
      </w:r>
      <w:r w:rsidRPr="004F5888">
        <w:rPr>
          <w:rFonts w:ascii="Times New Roman" w:hAnsi="Times New Roman" w:cs="Times New Roman"/>
          <w:sz w:val="28"/>
          <w:szCs w:val="28"/>
        </w:rPr>
        <w:lastRenderedPageBreak/>
        <w:t>Динамично развивающимся направлением этой же категории методов диагностики является использование программных продуктов для оценки отдельных психических функций – памяти, счёта, внимания и других . Общим недостатком второй группы методов диагностики когнитивных нарушений допустимо считать высокую стоимость необходимого оборудования и методическую сложность использования перечисленных инструментов.</w:t>
      </w:r>
    </w:p>
    <w:p w14:paraId="6634782E" w14:textId="77777777" w:rsidR="00DF2BB5" w:rsidRPr="004F5888" w:rsidRDefault="00DF2BB5" w:rsidP="004F5888">
      <w:pPr>
        <w:spacing w:after="0" w:line="240" w:lineRule="auto"/>
        <w:jc w:val="both"/>
        <w:rPr>
          <w:rFonts w:ascii="Times New Roman" w:hAnsi="Times New Roman" w:cs="Times New Roman"/>
          <w:sz w:val="28"/>
          <w:szCs w:val="28"/>
        </w:rPr>
      </w:pPr>
    </w:p>
    <w:p w14:paraId="05F371FA" w14:textId="77777777"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Был разработан метод интегральной графической геометрической логарифмической оценки когнитивных функций. Сущность метода заключается в оценке трёх основных показателей: риска развития и прогрессирования когнитивных нарушений (РКН, факторный радиус), когнитивного дефицита (КД, когнитивный радиус) и выраженности эмоционально-поведенческих нарушений (ВЭПН, эмоционально-поведенческий радиус) (рис. 1). Каждый из указанных показателей был представлен в виде лепестковой диаграммы, длина лучей которой соответствовала логарифмической балльной оценке ответов на вопросы или утверждения, характеризующие каждый из трёх показателей. Таким образом, в качестве лучей факторного радиуса оценивались факторы риска развития и прогрессирования когнитивных нарушений, ранжированные в баллах от 0 до 3: А – пол Б – возраст В – профессиональная занятость Г – уровень образования Д – обычное артериальное давление Е – наличие в анамнезе перенесённых инфарктов и инсультов. Арифметический расчёт выходных данных метода проводился путём вычисления отношения площади полученной фигуры каждой из трёх лепестковых диаграмм к максимально возможной их площади в процентах. Кроме этого, для каждого из трёх показателей оценивались отношения площадей отдельных секторов (СА-М и СА-З соответственно) к максимально возможной их площади в процентах (далее «сектор, %»). В качестве прицельной диагностики когнитивных нарушений в рамках когнитивного радиуса оценивались отношения фактических к максимально возможным (%) площадей отдельных долей (Д), образованных секторами, отражающими выраженность когнитивных нарушений с преимущественным страданием того или иного функционального блока головного мозга по А.Р. Лурия [17] (далее «доля, %»). Так в пределах когнитивного радиуса нами были выделены сектора «Е-З», преимущественно отражающие состояние I и III блоков (ДI-III), «Д» – II и III блока (ДII-III), «В-Г» – II блока (ДII) соответственно. Доли диаграммы, не принадлежащие ни одному из функциональных блоков, были обозначены как Д0. Площади исследованных геометрических фигур подсчитывались с использованием общепринятых тригонометрических функций. Для автоматизированного расчёта изучаемых величин нами была разработана программа для ЭВМ «КОД». Предложенный нами метод был апробирован на выборке испытуемых в количестве 30 человек (средний возраст 65,50±9,09), перенёсших острое нарушение мозгового кровообращения (ОНМК) в течение последнего полугода. На основании клинической картины ОНМК были выделены три группы сравнения. В первой группе испытуемых было 11 человек (3 женщины и 8 мужчин), перенёсших ОНМК по ишемическому типу в бассейне левой средней мозговой артерии (СМА). Вторая группа была представлена 12 испытуемыми (7 женщин и 5 мужчин), перенёсших ОНМК по ишемическому типу </w:t>
      </w:r>
      <w:r w:rsidRPr="004F5888">
        <w:rPr>
          <w:rFonts w:ascii="Times New Roman" w:hAnsi="Times New Roman" w:cs="Times New Roman"/>
          <w:sz w:val="28"/>
          <w:szCs w:val="28"/>
        </w:rPr>
        <w:lastRenderedPageBreak/>
        <w:t>в бассейне правой СМА. Третья группа пациентов состояла из 7 человек, перенёсших ОНМК по геморрагическому типу. В качестве группы контроля были обследованы 23 практически здоровых человека (15 женщин и 8 мужчин) молодого возраста (средний возраст 21,87±1,58). Факт отсутствия актуального или обострения хронического заболевания у испытуемых группы контроля подтверждался на основании результатов физикального осмотра и изучения медицинской документации. Обследование испытуемых проводилось после подписания ими или их законными представителями добровольного информированного согласия на медицинское вмешательство. Обследование испытуемых осуществлялось анонимно и не включало в себя сбор и хранение индивидуальных паспортных данных за исключением возраста. Примеры протоколов, полученных при исследовании когнитивных функций у испытуемых, представлены на рис. 2. Продолжительность обследования одного испытуемого не превышала 20 минут.</w:t>
      </w:r>
    </w:p>
    <w:p w14:paraId="6768418F" w14:textId="77777777"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Кроме этого, разработанный нами метод позволил выявить наиболее значимые факторы риска развития и прогрессирования когнитивных нарушений у мужчин в раннем восстановительном периоде ишемического инсульта, к которым относятся: мужской пол, курение и отягощённый по когнитивным расстройствам анамнез. В дополнение к этому, у мужчин в раннем восстановительном периоде ишемического инсульта в бассейне левой СМА к фактору риска развития и прогрессирования когнитивных расстройств был отнесён факт перенесённой травмы головы. Особенностью когнитивных расстройств у женщин в раннем восстановительном периоде ишемического инсульта в бассейне правой СМА стали большее количество жалоб на снижение когнитивных функций и более выраженные поведенческие расстройства диаметрально противоположной модальности (тревога и эйфория).</w:t>
      </w:r>
    </w:p>
    <w:p w14:paraId="25A7FE91" w14:textId="77777777" w:rsidR="00DF2BB5" w:rsidRPr="004F5888" w:rsidRDefault="00DF2BB5" w:rsidP="004F5888">
      <w:pPr>
        <w:spacing w:after="0" w:line="240" w:lineRule="auto"/>
        <w:jc w:val="both"/>
        <w:rPr>
          <w:rFonts w:ascii="Times New Roman" w:hAnsi="Times New Roman" w:cs="Times New Roman"/>
          <w:sz w:val="28"/>
          <w:szCs w:val="28"/>
        </w:rPr>
      </w:pPr>
    </w:p>
    <w:p w14:paraId="38DDBE91" w14:textId="77777777" w:rsidR="00DF2BB5" w:rsidRPr="004F5888" w:rsidRDefault="00DF2BB5"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Заключение</w:t>
      </w:r>
    </w:p>
    <w:p w14:paraId="2DE49BDD" w14:textId="45EBA17A" w:rsidR="00DF2BB5" w:rsidRPr="004F5888" w:rsidRDefault="00DF2BB5" w:rsidP="004F5888">
      <w:pPr>
        <w:spacing w:after="0" w:line="240" w:lineRule="auto"/>
        <w:jc w:val="both"/>
        <w:rPr>
          <w:rFonts w:ascii="Times New Roman" w:hAnsi="Times New Roman" w:cs="Times New Roman"/>
          <w:sz w:val="28"/>
          <w:szCs w:val="28"/>
          <w:vertAlign w:val="superscript"/>
        </w:rPr>
      </w:pPr>
      <w:r w:rsidRPr="004F5888">
        <w:rPr>
          <w:rFonts w:ascii="Times New Roman" w:hAnsi="Times New Roman" w:cs="Times New Roman"/>
          <w:sz w:val="28"/>
          <w:szCs w:val="28"/>
        </w:rPr>
        <w:t xml:space="preserve"> Проведённое исследование показало, что разработанный нами метод интегральной графической геометрической логарифмической оценки когнитивных функций является удобным и эффективным инструментом наглядной диагностики риска развития и прогрессирования когнитивных нарушений, оценки выраженности когнитивного дефицита и сопутствующих эмоционально-поведенческих расстройств. Преимуществами разработанного нами метода в оценке когнитивных нарушений у разных категорий пациентов представляются его комплексность на основании использования и подсчёта результатов общепринятых шкал и логарифмическая шкала оценки полученных результатов, которая даёт возможность проводить более дифференцированный подход к диагностике тяжёлых когнитивных нарушений. Техническая простота проведения, объективная оценка выходных данных метода, возможность динамического контроля результатов обеспечивают перспективу интеграции метода в клиническую практику невролога, гериатра и врача общей практики.</w:t>
      </w:r>
      <w:r w:rsidR="007533D3" w:rsidRPr="004F5888">
        <w:rPr>
          <w:rFonts w:ascii="Times New Roman" w:hAnsi="Times New Roman" w:cs="Times New Roman"/>
          <w:sz w:val="28"/>
          <w:szCs w:val="28"/>
          <w:vertAlign w:val="superscript"/>
        </w:rPr>
        <w:t>23</w:t>
      </w:r>
    </w:p>
    <w:p w14:paraId="7B9E9E42" w14:textId="77777777" w:rsidR="007533D3" w:rsidRPr="004F5888" w:rsidRDefault="007533D3" w:rsidP="004F5888">
      <w:pPr>
        <w:spacing w:after="0" w:line="240" w:lineRule="auto"/>
        <w:jc w:val="both"/>
        <w:rPr>
          <w:rFonts w:ascii="Times New Roman" w:hAnsi="Times New Roman" w:cs="Times New Roman"/>
          <w:sz w:val="28"/>
          <w:szCs w:val="28"/>
          <w:vertAlign w:val="superscript"/>
        </w:rPr>
      </w:pPr>
    </w:p>
    <w:p w14:paraId="6B2A3FA5" w14:textId="5F4FAF88" w:rsidR="00C66B55" w:rsidRPr="004F5888" w:rsidRDefault="00C66B55" w:rsidP="004F5888">
      <w:pPr>
        <w:pStyle w:val="5"/>
        <w:shd w:val="clear" w:color="auto" w:fill="FFFFFF"/>
        <w:spacing w:line="240" w:lineRule="auto"/>
        <w:jc w:val="both"/>
        <w:rPr>
          <w:rFonts w:ascii="Times New Roman" w:hAnsi="Times New Roman" w:cs="Times New Roman"/>
          <w:color w:val="auto"/>
          <w:sz w:val="28"/>
          <w:szCs w:val="28"/>
        </w:rPr>
      </w:pPr>
      <w:r w:rsidRPr="004F5888">
        <w:rPr>
          <w:rFonts w:ascii="Times New Roman" w:hAnsi="Times New Roman" w:cs="Times New Roman"/>
          <w:color w:val="auto"/>
          <w:sz w:val="28"/>
          <w:szCs w:val="28"/>
        </w:rPr>
        <w:lastRenderedPageBreak/>
        <w:t xml:space="preserve">Тест </w:t>
      </w:r>
      <w:r w:rsidRPr="004F5888">
        <w:rPr>
          <w:rFonts w:ascii="Times New Roman" w:hAnsi="Times New Roman" w:cs="Times New Roman"/>
          <w:color w:val="auto"/>
          <w:sz w:val="28"/>
          <w:szCs w:val="28"/>
          <w:lang w:val="en-US"/>
        </w:rPr>
        <w:t>Mini</w:t>
      </w:r>
      <w:r w:rsidRPr="004F5888">
        <w:rPr>
          <w:rFonts w:ascii="Times New Roman" w:hAnsi="Times New Roman" w:cs="Times New Roman"/>
          <w:color w:val="auto"/>
          <w:sz w:val="28"/>
          <w:szCs w:val="28"/>
        </w:rPr>
        <w:t>-</w:t>
      </w:r>
      <w:r w:rsidRPr="004F5888">
        <w:rPr>
          <w:rFonts w:ascii="Times New Roman" w:hAnsi="Times New Roman" w:cs="Times New Roman"/>
          <w:color w:val="auto"/>
          <w:sz w:val="28"/>
          <w:szCs w:val="28"/>
          <w:lang w:val="en-US"/>
        </w:rPr>
        <w:t>Cog</w:t>
      </w:r>
    </w:p>
    <w:p w14:paraId="165C0273" w14:textId="145E8439" w:rsidR="00C66B55" w:rsidRPr="004F5888" w:rsidRDefault="00C66B55" w:rsidP="004F5888">
      <w:pPr>
        <w:pStyle w:val="5"/>
        <w:shd w:val="clear" w:color="auto" w:fill="FFFFFF"/>
        <w:spacing w:line="240" w:lineRule="auto"/>
        <w:jc w:val="both"/>
        <w:rPr>
          <w:rFonts w:ascii="Times New Roman" w:hAnsi="Times New Roman" w:cs="Times New Roman"/>
          <w:sz w:val="28"/>
          <w:szCs w:val="28"/>
          <w:vertAlign w:val="superscript"/>
        </w:rPr>
      </w:pPr>
      <w:r w:rsidRPr="004F5888">
        <w:rPr>
          <w:rFonts w:ascii="Times New Roman" w:hAnsi="Times New Roman" w:cs="Times New Roman"/>
          <w:sz w:val="28"/>
          <w:szCs w:val="28"/>
        </w:rPr>
        <w:t>Мини-винтик состоит из задания на запоминание трех слов и теста рисования часов. Стандартная система подсчета очков включает в себя присвоение баллов от 0 до 3 баллов по задаче "запоминание слов" для правильного запоминания 0, 1, 2 или 3 слов соответственно. Тест рисования часов оценивается как "нормальный" или "ненормальный". Положительный тест на мини-винтик (то есть слабоумие) назначается, если либо оценка отложенного отзыва равна 0 из 3, либо если оценка отложенного отзыва равна либо 1, либо 2 и тест рисования часов является ненормальным. Оценка в 3 балла при задержанном вызове или от 1 до 2 баллов при задержанном вызове с нормальным рисунком часов-это отрицательный тест (то есть отсутствие деменции) (</w:t>
      </w:r>
      <w:proofErr w:type="spellStart"/>
      <w:r w:rsidR="0093135B">
        <w:fldChar w:fldCharType="begin"/>
      </w:r>
      <w:r w:rsidR="0093135B">
        <w:instrText xml:space="preserve"> HYPERLINK "https://www.cochranelibrary.com/cdsr/doi/10.1002/14651858.CD010860.pub2/references" \l "CD010860-bbs2-0001" </w:instrText>
      </w:r>
      <w:r w:rsidR="0093135B">
        <w:fldChar w:fldCharType="separate"/>
      </w:r>
      <w:r w:rsidRPr="004F5888">
        <w:rPr>
          <w:rStyle w:val="a9"/>
          <w:rFonts w:ascii="Times New Roman" w:hAnsi="Times New Roman" w:cs="Times New Roman"/>
          <w:color w:val="auto"/>
          <w:sz w:val="28"/>
          <w:szCs w:val="28"/>
        </w:rPr>
        <w:t>Borson</w:t>
      </w:r>
      <w:proofErr w:type="spellEnd"/>
      <w:r w:rsidRPr="004F5888">
        <w:rPr>
          <w:rStyle w:val="a9"/>
          <w:rFonts w:ascii="Times New Roman" w:hAnsi="Times New Roman" w:cs="Times New Roman"/>
          <w:color w:val="auto"/>
          <w:sz w:val="28"/>
          <w:szCs w:val="28"/>
        </w:rPr>
        <w:t xml:space="preserve"> 2000</w:t>
      </w:r>
      <w:r w:rsidR="0093135B">
        <w:rPr>
          <w:rStyle w:val="a9"/>
          <w:rFonts w:ascii="Times New Roman" w:hAnsi="Times New Roman" w:cs="Times New Roman"/>
          <w:color w:val="auto"/>
          <w:sz w:val="28"/>
          <w:szCs w:val="28"/>
        </w:rPr>
        <w:fldChar w:fldCharType="end"/>
      </w:r>
      <w:r w:rsidRPr="004F5888">
        <w:rPr>
          <w:rFonts w:ascii="Times New Roman" w:hAnsi="Times New Roman" w:cs="Times New Roman"/>
          <w:sz w:val="28"/>
          <w:szCs w:val="28"/>
        </w:rPr>
        <w:t>).</w:t>
      </w:r>
      <w:r w:rsidR="007533D3" w:rsidRPr="004F5888">
        <w:rPr>
          <w:rFonts w:ascii="Times New Roman" w:hAnsi="Times New Roman" w:cs="Times New Roman"/>
          <w:sz w:val="28"/>
          <w:szCs w:val="28"/>
          <w:vertAlign w:val="superscript"/>
        </w:rPr>
        <w:t>24</w:t>
      </w:r>
    </w:p>
    <w:p w14:paraId="090332A3" w14:textId="77777777" w:rsidR="007533D3" w:rsidRPr="004F5888" w:rsidRDefault="007533D3" w:rsidP="004F5888">
      <w:pPr>
        <w:spacing w:after="0" w:line="240" w:lineRule="auto"/>
        <w:rPr>
          <w:rFonts w:ascii="Times New Roman" w:hAnsi="Times New Roman" w:cs="Times New Roman"/>
          <w:sz w:val="28"/>
          <w:szCs w:val="28"/>
        </w:rPr>
      </w:pPr>
    </w:p>
    <w:p w14:paraId="7B0A1B45" w14:textId="77777777" w:rsidR="00BD1496" w:rsidRPr="004F5888" w:rsidRDefault="00BD1496" w:rsidP="004F5888">
      <w:pPr>
        <w:pStyle w:val="aa"/>
        <w:shd w:val="clear" w:color="auto" w:fill="FFFFFF"/>
        <w:spacing w:before="0" w:beforeAutospacing="0" w:after="0" w:afterAutospacing="0"/>
        <w:jc w:val="both"/>
        <w:rPr>
          <w:sz w:val="28"/>
          <w:szCs w:val="28"/>
        </w:rPr>
      </w:pPr>
      <w:r w:rsidRPr="004F5888">
        <w:rPr>
          <w:b/>
          <w:bCs/>
          <w:sz w:val="28"/>
          <w:szCs w:val="28"/>
        </w:rPr>
        <w:t>Основные результаты</w:t>
      </w:r>
    </w:p>
    <w:p w14:paraId="4DC51E2D" w14:textId="77777777" w:rsidR="00BD1496" w:rsidRPr="004F5888" w:rsidRDefault="00BD1496" w:rsidP="004F5888">
      <w:pPr>
        <w:pStyle w:val="aa"/>
        <w:shd w:val="clear" w:color="auto" w:fill="FFFFFF"/>
        <w:spacing w:before="0" w:beforeAutospacing="0" w:after="0" w:afterAutospacing="0"/>
        <w:jc w:val="both"/>
        <w:rPr>
          <w:sz w:val="28"/>
          <w:szCs w:val="28"/>
        </w:rPr>
      </w:pPr>
      <w:r w:rsidRPr="004F5888">
        <w:rPr>
          <w:sz w:val="28"/>
          <w:szCs w:val="28"/>
        </w:rPr>
        <w:t>Мы обнаружили, что MoCA хорошо выявляет деменцию при использовании признанной оценки отсечения менее 26. В исследованиях, которые использовали эту отсечку, мы обнаружили, что тест правильно выявил более 94% людей с деменцией во всех условиях. С другой стороны, тест также дал высокую долю ложноположительных результатов, то есть людей, у которых не было деменции, но они дали положительный результат при отсечении "менее 26". В исследованиях, которые мы рассмотрели, более 40% людей без деменции были бы неправильно диагностированы с деменцией с помощью MoCA.</w:t>
      </w:r>
    </w:p>
    <w:p w14:paraId="1E2384C8" w14:textId="77777777" w:rsidR="00BD1496" w:rsidRPr="004F5888" w:rsidRDefault="00BD1496" w:rsidP="004F5888">
      <w:pPr>
        <w:pStyle w:val="aa"/>
        <w:shd w:val="clear" w:color="auto" w:fill="FFFFFF"/>
        <w:spacing w:before="0" w:beforeAutospacing="0" w:after="0" w:afterAutospacing="0"/>
        <w:jc w:val="both"/>
        <w:rPr>
          <w:sz w:val="28"/>
          <w:szCs w:val="28"/>
        </w:rPr>
      </w:pPr>
    </w:p>
    <w:p w14:paraId="53A9BDBA" w14:textId="77777777" w:rsidR="00BD1496" w:rsidRPr="004F5888" w:rsidRDefault="00BD1496" w:rsidP="004F5888">
      <w:pPr>
        <w:pStyle w:val="aa"/>
        <w:shd w:val="clear" w:color="auto" w:fill="FFFFFF"/>
        <w:spacing w:before="0" w:beforeAutospacing="0" w:after="0" w:afterAutospacing="0"/>
        <w:jc w:val="both"/>
        <w:rPr>
          <w:sz w:val="28"/>
          <w:szCs w:val="28"/>
        </w:rPr>
      </w:pPr>
      <w:r w:rsidRPr="004F5888">
        <w:rPr>
          <w:b/>
          <w:bCs/>
          <w:sz w:val="28"/>
          <w:szCs w:val="28"/>
        </w:rPr>
        <w:t>Вывод</w:t>
      </w:r>
    </w:p>
    <w:p w14:paraId="31E076F1" w14:textId="77777777" w:rsidR="00BD1496" w:rsidRPr="004F5888" w:rsidRDefault="00BD1496" w:rsidP="004F5888">
      <w:pPr>
        <w:pStyle w:val="aa"/>
        <w:shd w:val="clear" w:color="auto" w:fill="FFFFFF"/>
        <w:spacing w:before="0" w:beforeAutospacing="0" w:after="0" w:afterAutospacing="0"/>
        <w:jc w:val="both"/>
        <w:rPr>
          <w:sz w:val="28"/>
          <w:szCs w:val="28"/>
        </w:rPr>
      </w:pPr>
      <w:r w:rsidRPr="004F5888">
        <w:rPr>
          <w:sz w:val="28"/>
          <w:szCs w:val="28"/>
        </w:rPr>
        <w:t>Общее качество исследований было недостаточно хорошим, чтобы дать твердые рекомендации по использованию MoCA для выявления деменции в различных медицинских учреждениях. В частности, ни в одном исследовании не рассматривалось, насколько полезен МОКа для диагностики деменции в учреждениях первичной медико-санитарной помощи. Вполне вероятно, что порог MoCA ниже 26 был бы более полезен для оптимальной диагностической точности при деменции, хотя это требует более широкого подтверждения.</w:t>
      </w:r>
    </w:p>
    <w:p w14:paraId="0B3FC462" w14:textId="77777777" w:rsidR="00BD1496" w:rsidRPr="004F5888" w:rsidRDefault="00BD1496" w:rsidP="004F5888">
      <w:pPr>
        <w:pStyle w:val="aa"/>
        <w:shd w:val="clear" w:color="auto" w:fill="FFFFFF"/>
        <w:spacing w:before="0" w:beforeAutospacing="0" w:after="0" w:afterAutospacing="0"/>
        <w:jc w:val="both"/>
        <w:rPr>
          <w:sz w:val="28"/>
          <w:szCs w:val="28"/>
        </w:rPr>
      </w:pPr>
      <w:r w:rsidRPr="004F5888">
        <w:rPr>
          <w:sz w:val="28"/>
          <w:szCs w:val="28"/>
        </w:rPr>
        <w:t>ОБЯЗАТЕЛЬНО ОТКРЫТЬ ВСЮ СТАТЬЮ</w:t>
      </w:r>
    </w:p>
    <w:p w14:paraId="285DAC5C" w14:textId="77777777" w:rsidR="00BD1496" w:rsidRPr="004F5888" w:rsidRDefault="00667E06" w:rsidP="004F5888">
      <w:pPr>
        <w:spacing w:after="0" w:line="240" w:lineRule="auto"/>
        <w:jc w:val="both"/>
        <w:rPr>
          <w:rFonts w:ascii="Times New Roman" w:hAnsi="Times New Roman" w:cs="Times New Roman"/>
          <w:sz w:val="28"/>
          <w:szCs w:val="28"/>
        </w:rPr>
      </w:pPr>
      <w:hyperlink r:id="rId18" w:history="1">
        <w:r w:rsidR="00BD1496" w:rsidRPr="004F5888">
          <w:rPr>
            <w:rStyle w:val="a9"/>
            <w:rFonts w:ascii="Times New Roman" w:hAnsi="Times New Roman" w:cs="Times New Roman"/>
            <w:color w:val="auto"/>
            <w:sz w:val="28"/>
            <w:szCs w:val="28"/>
          </w:rPr>
          <w:t>https://www.cochranelibrary.com/cdsr/doi/10.1002/14651858.CD010775.pub2/full</w:t>
        </w:r>
      </w:hyperlink>
    </w:p>
    <w:p w14:paraId="2096EE16" w14:textId="77777777" w:rsidR="00C66B55" w:rsidRPr="004F5888" w:rsidRDefault="00C66B55" w:rsidP="004F5888">
      <w:pPr>
        <w:spacing w:after="0" w:line="240" w:lineRule="auto"/>
        <w:jc w:val="both"/>
        <w:rPr>
          <w:rFonts w:ascii="Times New Roman" w:hAnsi="Times New Roman" w:cs="Times New Roman"/>
          <w:sz w:val="28"/>
          <w:szCs w:val="28"/>
        </w:rPr>
      </w:pPr>
    </w:p>
    <w:p w14:paraId="41D4C48C" w14:textId="3B3555CC" w:rsidR="00DF2BB5" w:rsidRPr="004F5888" w:rsidRDefault="00D03B8E"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Вывод по главе:</w:t>
      </w:r>
    </w:p>
    <w:p w14:paraId="7A5C57A2" w14:textId="2E06995D" w:rsidR="00D03B8E" w:rsidRPr="004F5888" w:rsidRDefault="00D03B8E"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Нейропсихологические исследования в целом эффективны, если грамотно использовать их, то по итогу они дадут вовремя внести  терапевтическое вмешательство.  НО они особенно эффективны в сочетании с другими диагностическими методами</w:t>
      </w:r>
      <w:r w:rsidR="00575281" w:rsidRPr="004F5888">
        <w:rPr>
          <w:rFonts w:ascii="Times New Roman" w:hAnsi="Times New Roman" w:cs="Times New Roman"/>
          <w:sz w:val="28"/>
          <w:szCs w:val="28"/>
        </w:rPr>
        <w:t xml:space="preserve">. Большинство тестов устанавливают границы получаемых результатов, которые не учитывают эффекты возраста и образовательного уровня, в то время как параметры являются важными предикторами когнитивного резерва. Большинство американских исследований  показывают, что тест </w:t>
      </w:r>
      <w:r w:rsidR="00575281" w:rsidRPr="004F5888">
        <w:rPr>
          <w:rFonts w:ascii="Times New Roman" w:hAnsi="Times New Roman" w:cs="Times New Roman"/>
          <w:sz w:val="28"/>
          <w:szCs w:val="28"/>
          <w:lang w:val="en-US"/>
        </w:rPr>
        <w:t>MOCA</w:t>
      </w:r>
      <w:r w:rsidR="00575281" w:rsidRPr="004F5888">
        <w:rPr>
          <w:rFonts w:ascii="Times New Roman" w:hAnsi="Times New Roman" w:cs="Times New Roman"/>
          <w:sz w:val="28"/>
          <w:szCs w:val="28"/>
        </w:rPr>
        <w:t xml:space="preserve">  приводит к ложноположительным результатам. Тест </w:t>
      </w:r>
      <w:r w:rsidR="00575281" w:rsidRPr="004F5888">
        <w:rPr>
          <w:rFonts w:ascii="Times New Roman" w:hAnsi="Times New Roman" w:cs="Times New Roman"/>
          <w:sz w:val="28"/>
          <w:szCs w:val="28"/>
          <w:lang w:val="en-US"/>
        </w:rPr>
        <w:t>MMSE</w:t>
      </w:r>
      <w:r w:rsidR="00575281" w:rsidRPr="004F5888">
        <w:rPr>
          <w:rFonts w:ascii="Times New Roman" w:hAnsi="Times New Roman" w:cs="Times New Roman"/>
          <w:sz w:val="28"/>
          <w:szCs w:val="28"/>
        </w:rPr>
        <w:t xml:space="preserve"> больше подходит уже для больных с подтвержденной деменцией, а монреальский тест только для выявления умеренных когнитивных нарушений. Также тесты «бумага+ </w:t>
      </w:r>
      <w:r w:rsidR="00575281" w:rsidRPr="004F5888">
        <w:rPr>
          <w:rFonts w:ascii="Times New Roman" w:hAnsi="Times New Roman" w:cs="Times New Roman"/>
          <w:sz w:val="28"/>
          <w:szCs w:val="28"/>
        </w:rPr>
        <w:lastRenderedPageBreak/>
        <w:t xml:space="preserve">карандаш» в целом просты в прохождении, но опять же есть обратная сторона, все тесты делаются на время и при засекании времени могут в итоге обнаружиться неточности. А компьютерные тесты  в свою очередь могут создать неудобства в силу неприспособленности пожилого населения. </w:t>
      </w:r>
      <w:r w:rsidR="009E2E90" w:rsidRPr="004F5888">
        <w:rPr>
          <w:rFonts w:ascii="Times New Roman" w:hAnsi="Times New Roman" w:cs="Times New Roman"/>
          <w:sz w:val="28"/>
          <w:szCs w:val="28"/>
        </w:rPr>
        <w:t xml:space="preserve">Еще один важный момент это возраст. При выборе нейропсихологических тестов необходимо учитывать возраст пациента. Некоторые тесты были специально разработаны для исследования нарушения развития у детей и подростков, тогда как другие тесты нацелены на работу с субъектами среднего возраста и пожилыми людьми.Наилучшими для оценки деменции являются тесты Mini-Cog и ACE-R, а для умеренного когнитивного нарушения — монреальский опросник MoCA. </w:t>
      </w:r>
    </w:p>
    <w:p w14:paraId="4E36594E" w14:textId="0559DDA3" w:rsidR="009E2E90" w:rsidRPr="004F5888" w:rsidRDefault="009E2E90"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НО все тесты имеют и «+» и «-» стороны. </w:t>
      </w:r>
    </w:p>
    <w:p w14:paraId="4627FADA" w14:textId="57618780" w:rsidR="00CF5CA5" w:rsidRPr="004F5888" w:rsidRDefault="00AC352A" w:rsidP="004F5888">
      <w:pPr>
        <w:spacing w:after="0" w:line="240" w:lineRule="auto"/>
        <w:jc w:val="both"/>
        <w:rPr>
          <w:rFonts w:ascii="Times New Roman" w:hAnsi="Times New Roman" w:cs="Times New Roman"/>
          <w:b/>
          <w:bCs/>
          <w:sz w:val="28"/>
          <w:szCs w:val="28"/>
        </w:rPr>
      </w:pPr>
      <w:r w:rsidRPr="004F5888">
        <w:rPr>
          <w:rFonts w:ascii="Times New Roman" w:hAnsi="Times New Roman" w:cs="Times New Roman"/>
          <w:b/>
          <w:bCs/>
          <w:sz w:val="28"/>
          <w:szCs w:val="28"/>
        </w:rPr>
        <w:t>1.</w:t>
      </w:r>
      <w:r w:rsidR="00612968" w:rsidRPr="004F5888">
        <w:rPr>
          <w:rFonts w:ascii="Times New Roman" w:hAnsi="Times New Roman" w:cs="Times New Roman"/>
          <w:b/>
          <w:bCs/>
          <w:sz w:val="28"/>
          <w:szCs w:val="28"/>
        </w:rPr>
        <w:t>8</w:t>
      </w:r>
      <w:r w:rsidRPr="004F5888">
        <w:rPr>
          <w:rFonts w:ascii="Times New Roman" w:hAnsi="Times New Roman" w:cs="Times New Roman"/>
          <w:b/>
          <w:bCs/>
          <w:sz w:val="28"/>
          <w:szCs w:val="28"/>
        </w:rPr>
        <w:t xml:space="preserve"> </w:t>
      </w:r>
      <w:r w:rsidR="00DF2BB5" w:rsidRPr="004F5888">
        <w:rPr>
          <w:rFonts w:ascii="Times New Roman" w:hAnsi="Times New Roman" w:cs="Times New Roman"/>
          <w:b/>
          <w:bCs/>
          <w:sz w:val="28"/>
          <w:szCs w:val="28"/>
        </w:rPr>
        <w:t>Профилактика. Программы ментальн</w:t>
      </w:r>
      <w:r w:rsidRPr="004F5888">
        <w:rPr>
          <w:rFonts w:ascii="Times New Roman" w:hAnsi="Times New Roman" w:cs="Times New Roman"/>
          <w:b/>
          <w:bCs/>
          <w:sz w:val="28"/>
          <w:szCs w:val="28"/>
        </w:rPr>
        <w:t xml:space="preserve">ого здоровья в разных странах. </w:t>
      </w:r>
    </w:p>
    <w:p w14:paraId="4912964B" w14:textId="0D19578C" w:rsidR="00DC7707" w:rsidRPr="004F5888" w:rsidRDefault="00DC7707" w:rsidP="004F5888">
      <w:pPr>
        <w:spacing w:after="0" w:line="240" w:lineRule="auto"/>
        <w:ind w:firstLine="708"/>
        <w:jc w:val="both"/>
        <w:rPr>
          <w:rFonts w:ascii="Times New Roman" w:hAnsi="Times New Roman" w:cs="Times New Roman"/>
          <w:sz w:val="28"/>
          <w:szCs w:val="28"/>
          <w:shd w:val="clear" w:color="auto" w:fill="FFFFFF"/>
          <w:vertAlign w:val="superscript"/>
        </w:rPr>
      </w:pPr>
      <w:r w:rsidRPr="004F5888">
        <w:rPr>
          <w:rFonts w:ascii="Times New Roman" w:hAnsi="Times New Roman" w:cs="Times New Roman"/>
          <w:sz w:val="28"/>
          <w:szCs w:val="28"/>
          <w:shd w:val="clear" w:color="auto" w:fill="FFFFFF"/>
        </w:rPr>
        <w:t>Исследования, посвященные превентивным мерам в развитии БА, дают разрозненные результаты, однако эпидемиологические исследования показывают прямую корреляцию таких факторов как диета, риск сердечно-сосудистых заболеваний, прием лекарств, мыслительная активность, атеросклероз с развитием БА (J. Molecular Biology of the Cell, 2010). Некоторые исследования говорят о повышенном риске развития болезни Альцгеймера у тех людей, чья работа связана с воздействием магнитных полей, попаданием в организм металлов (алюминий) и некоторых соединений со фтором (тефлон).</w:t>
      </w:r>
      <w:r w:rsidR="00AC352A" w:rsidRPr="004F5888">
        <w:rPr>
          <w:rFonts w:ascii="Times New Roman" w:hAnsi="Times New Roman" w:cs="Times New Roman"/>
          <w:sz w:val="28"/>
          <w:szCs w:val="28"/>
          <w:shd w:val="clear" w:color="auto" w:fill="FFFFFF"/>
          <w:vertAlign w:val="superscript"/>
        </w:rPr>
        <w:t>25</w:t>
      </w:r>
    </w:p>
    <w:p w14:paraId="1D435138" w14:textId="7CB277F8" w:rsidR="00DC7707" w:rsidRPr="004F5888" w:rsidRDefault="00DC7707"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Термином «когнитивный резерв» (КР) обозначают способность мозга справляться с последствиями его повреждения в результате инсульта, травм, хронических цереброваскулярных, нейродегенеративных заболеваний или с возрастными изменениями, а также способность к функциональной компенсации и минимизации клинической манифестации </w:t>
      </w:r>
      <w:r w:rsidR="00AC352A" w:rsidRPr="004F5888">
        <w:rPr>
          <w:rFonts w:ascii="Times New Roman" w:hAnsi="Times New Roman" w:cs="Times New Roman"/>
          <w:sz w:val="28"/>
          <w:szCs w:val="28"/>
        </w:rPr>
        <w:t>когнитивной несостоятельности</w:t>
      </w:r>
      <w:r w:rsidRPr="004F5888">
        <w:rPr>
          <w:rFonts w:ascii="Times New Roman" w:hAnsi="Times New Roman" w:cs="Times New Roman"/>
          <w:b/>
          <w:bCs/>
          <w:sz w:val="28"/>
          <w:szCs w:val="28"/>
        </w:rPr>
        <w:t>. По данным многих перспективных исследований последних лет, лица с высоким КР имеют бол</w:t>
      </w:r>
      <w:r w:rsidR="00AC352A" w:rsidRPr="004F5888">
        <w:rPr>
          <w:rFonts w:ascii="Times New Roman" w:hAnsi="Times New Roman" w:cs="Times New Roman"/>
          <w:b/>
          <w:bCs/>
          <w:sz w:val="28"/>
          <w:szCs w:val="28"/>
        </w:rPr>
        <w:t>ее низкий риск развития деменции</w:t>
      </w:r>
      <w:r w:rsidRPr="004F5888">
        <w:rPr>
          <w:rFonts w:ascii="Times New Roman" w:hAnsi="Times New Roman" w:cs="Times New Roman"/>
          <w:sz w:val="28"/>
          <w:szCs w:val="28"/>
        </w:rPr>
        <w:t>. В соответствии с концепцией КР вероятность развития деменции определяется врожденными структурно-функциональными особенностями головного мозга и такими приобретенными факторами, как уровень образования, интеллектуальные нагрузки в течение жизни, характер трудовой деятельности, стиль проведения досуга. В формировании КР рассматривается несколько гипотез. Согласно одним из них, структурные особенности, такие как объем мозга, высокая степень синаптических контактов, приобретают буферные функции по отношению к повреждению. Симптомы деменции не появляются, пока не будет преодолен определенный порог повреждения. Прогрессирующая атрофия регионов мозга, несомненно, является основой для клинических проявлений деменции при нейродегенеративных заболеваниях. Однако корреляция между степенью повреждения мозга и когнитивными нарушениями (КН) не является линейной.</w:t>
      </w:r>
    </w:p>
    <w:p w14:paraId="3A8F9993" w14:textId="03E0C4B4" w:rsidR="00DC7707" w:rsidRPr="004F5888" w:rsidRDefault="00DC7707"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Было выявлено, что поддержание интеллектуальной деятельности в течение последующей жизни является важны</w:t>
      </w:r>
      <w:r w:rsidR="00AC352A" w:rsidRPr="004F5888">
        <w:rPr>
          <w:rFonts w:ascii="Times New Roman" w:hAnsi="Times New Roman" w:cs="Times New Roman"/>
          <w:sz w:val="28"/>
          <w:szCs w:val="28"/>
        </w:rPr>
        <w:t>м фактором в формировании КР</w:t>
      </w:r>
      <w:r w:rsidRPr="004F5888">
        <w:rPr>
          <w:rFonts w:ascii="Times New Roman" w:hAnsi="Times New Roman" w:cs="Times New Roman"/>
          <w:sz w:val="28"/>
          <w:szCs w:val="28"/>
        </w:rPr>
        <w:t>. Социальное поведение, положение индивида в социальной иерархии также оказывают влияние на состоя</w:t>
      </w:r>
      <w:r w:rsidR="00AC352A" w:rsidRPr="004F5888">
        <w:rPr>
          <w:rFonts w:ascii="Times New Roman" w:hAnsi="Times New Roman" w:cs="Times New Roman"/>
          <w:sz w:val="28"/>
          <w:szCs w:val="28"/>
        </w:rPr>
        <w:t xml:space="preserve">ние КР. N. Ghaffar и соавт. </w:t>
      </w:r>
      <w:r w:rsidRPr="004F5888">
        <w:rPr>
          <w:rFonts w:ascii="Times New Roman" w:hAnsi="Times New Roman" w:cs="Times New Roman"/>
          <w:sz w:val="28"/>
          <w:szCs w:val="28"/>
        </w:rPr>
        <w:t xml:space="preserve">показали, что изначально более высокий уровень интеллектуального развития и более активное социальное поведение, связанное с </w:t>
      </w:r>
      <w:r w:rsidRPr="004F5888">
        <w:rPr>
          <w:rFonts w:ascii="Times New Roman" w:hAnsi="Times New Roman" w:cs="Times New Roman"/>
          <w:sz w:val="28"/>
          <w:szCs w:val="28"/>
        </w:rPr>
        <w:lastRenderedPageBreak/>
        <w:t>трудовой деятельностью и проведением досуга, оказывают положительное влияние на большую сохранность когнитивных функций в пожилом</w:t>
      </w:r>
      <w:r w:rsidR="00AC352A" w:rsidRPr="004F5888">
        <w:rPr>
          <w:rFonts w:ascii="Times New Roman" w:hAnsi="Times New Roman" w:cs="Times New Roman"/>
          <w:sz w:val="28"/>
          <w:szCs w:val="28"/>
        </w:rPr>
        <w:t xml:space="preserve"> возрасте. S. Adam и соавт. </w:t>
      </w:r>
      <w:r w:rsidRPr="004F5888">
        <w:rPr>
          <w:rFonts w:ascii="Times New Roman" w:hAnsi="Times New Roman" w:cs="Times New Roman"/>
          <w:sz w:val="28"/>
          <w:szCs w:val="28"/>
        </w:rPr>
        <w:t>отметили превентивное действие в отношении развития БА и возрастного когнитивного снижения таких факторов, как более высокий исходный уровень КР, особенности образа жизни и социально-экономическое положение</w:t>
      </w:r>
      <w:r w:rsidRPr="004F5888">
        <w:rPr>
          <w:rFonts w:ascii="Times New Roman" w:hAnsi="Times New Roman" w:cs="Times New Roman"/>
          <w:b/>
          <w:bCs/>
          <w:sz w:val="28"/>
          <w:szCs w:val="28"/>
        </w:rPr>
        <w:t>. Владение двумя языками (билингвизм)</w:t>
      </w:r>
      <w:r w:rsidRPr="004F5888">
        <w:rPr>
          <w:rFonts w:ascii="Times New Roman" w:hAnsi="Times New Roman" w:cs="Times New Roman"/>
          <w:sz w:val="28"/>
          <w:szCs w:val="28"/>
        </w:rPr>
        <w:t xml:space="preserve"> является еще одним фактором, обеспечивающим формирование и по</w:t>
      </w:r>
      <w:r w:rsidR="00AC352A" w:rsidRPr="004F5888">
        <w:rPr>
          <w:rFonts w:ascii="Times New Roman" w:hAnsi="Times New Roman" w:cs="Times New Roman"/>
          <w:sz w:val="28"/>
          <w:szCs w:val="28"/>
        </w:rPr>
        <w:t>ддержание высокого уровня КР</w:t>
      </w:r>
      <w:r w:rsidRPr="004F5888">
        <w:rPr>
          <w:rFonts w:ascii="Times New Roman" w:hAnsi="Times New Roman" w:cs="Times New Roman"/>
          <w:sz w:val="28"/>
          <w:szCs w:val="28"/>
        </w:rPr>
        <w:t xml:space="preserve">, и позволяет быстро переключаться с одного языка на другой во время общения, грамматически правильно строить фразы. Имеются наблюдения, показывающие, что взрослые и пожилые лица, владеющие двумя языками, по сравнению с их ровесниками, владеющими одним языком, значительно лучше выполняют нейропсихологические тесты. В Центре когнитивного старения и когнитивной эпидемиологии Университета </w:t>
      </w:r>
      <w:r w:rsidR="00AC352A" w:rsidRPr="004F5888">
        <w:rPr>
          <w:rFonts w:ascii="Times New Roman" w:hAnsi="Times New Roman" w:cs="Times New Roman"/>
          <w:sz w:val="28"/>
          <w:szCs w:val="28"/>
        </w:rPr>
        <w:t xml:space="preserve">Эдинбурга T.Н. Bak и соавт. </w:t>
      </w:r>
      <w:r w:rsidRPr="004F5888">
        <w:rPr>
          <w:rFonts w:ascii="Times New Roman" w:hAnsi="Times New Roman" w:cs="Times New Roman"/>
          <w:sz w:val="28"/>
          <w:szCs w:val="28"/>
        </w:rPr>
        <w:t>оценивали влияние изучения второго языка на когнитивную деятельность в старшем возрасте с учетом интеллектуальных способностей в детстве. В ходе этого исследования ученые опирались на данные лотианской когорты 1936 года рождения, состоявшей из 835 носителей английского языка, которые родились и проживают в Эдинбурге (Шотландия). Участники прошли тест на интеллект в возрасте 11 лет, а затем – когда им было чуть больше 70 лет. Выяснилось, что 262 участника могли изъясняться по крайней мере еще на одном языке, кроме английского. Из них 195 выучили второй язык до 18 лет, 65 – после. Результаты показали, что у тех, кто говорил на двух и более языках, когнитивные способности были значительно лучше по сравнению со средними показателями в этом возрасте. Наибольший эффект наблюдался в общем уровне интеллектуального развития и чтении. При этом изменения отмечены как у людей, рано выучивших второй язык, так и у тех, кто выучил его в зрелом возрасте.</w:t>
      </w:r>
    </w:p>
    <w:p w14:paraId="32037A24" w14:textId="49401C54" w:rsidR="00DC7707" w:rsidRPr="004F5888" w:rsidRDefault="00DC7707"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Другими управляемыми факторами повышения КР и снижения риска развития деменции являются образование, профессия, регулярная физическая активность [4]. Выяснилось, что пожилые люди, ведущие активный образ жизни, на 40% лучше ориентируются в пространстве, что соотносится с размерами их гиппокампа. Чем в лучшей спортивной форме находились пожилые люди, тем больше был их гиппокамп и лу</w:t>
      </w:r>
      <w:r w:rsidR="00AC352A" w:rsidRPr="004F5888">
        <w:rPr>
          <w:rFonts w:ascii="Times New Roman" w:hAnsi="Times New Roman" w:cs="Times New Roman"/>
          <w:sz w:val="28"/>
          <w:szCs w:val="28"/>
        </w:rPr>
        <w:t>чше пространственная память</w:t>
      </w:r>
      <w:r w:rsidRPr="004F5888">
        <w:rPr>
          <w:rFonts w:ascii="Times New Roman" w:hAnsi="Times New Roman" w:cs="Times New Roman"/>
          <w:sz w:val="28"/>
          <w:szCs w:val="28"/>
        </w:rPr>
        <w:t xml:space="preserve">. </w:t>
      </w:r>
      <w:r w:rsidRPr="004F5888">
        <w:rPr>
          <w:rFonts w:ascii="Times New Roman" w:hAnsi="Times New Roman" w:cs="Times New Roman"/>
          <w:b/>
          <w:bCs/>
          <w:sz w:val="28"/>
          <w:szCs w:val="28"/>
        </w:rPr>
        <w:t>Двухлетнее наблюдение за пожилыми мужчинами в возрасте 71–93 лет выявило, что у тех из них, кто в день проходил менее четверти мили, риск деменции повышался в 2 раза по сравнению с теми, кто ежедневно проходил как минимум 2 мили</w:t>
      </w:r>
      <w:r w:rsidR="00AC352A" w:rsidRPr="004F5888">
        <w:rPr>
          <w:rFonts w:ascii="Times New Roman" w:hAnsi="Times New Roman" w:cs="Times New Roman"/>
          <w:sz w:val="28"/>
          <w:szCs w:val="28"/>
        </w:rPr>
        <w:t xml:space="preserve"> </w:t>
      </w:r>
      <w:r w:rsidRPr="004F5888">
        <w:rPr>
          <w:rFonts w:ascii="Times New Roman" w:hAnsi="Times New Roman" w:cs="Times New Roman"/>
          <w:sz w:val="28"/>
          <w:szCs w:val="28"/>
        </w:rPr>
        <w:t xml:space="preserve">. </w:t>
      </w:r>
    </w:p>
    <w:p w14:paraId="4A717378" w14:textId="4B70ED24" w:rsidR="00DC7707" w:rsidRPr="004F5888" w:rsidRDefault="00DC7707" w:rsidP="004F5888">
      <w:pPr>
        <w:spacing w:after="0" w:line="240" w:lineRule="auto"/>
        <w:ind w:firstLine="709"/>
        <w:jc w:val="both"/>
        <w:rPr>
          <w:rFonts w:ascii="Times New Roman" w:hAnsi="Times New Roman" w:cs="Times New Roman"/>
          <w:sz w:val="28"/>
          <w:szCs w:val="28"/>
        </w:rPr>
      </w:pPr>
      <w:r w:rsidRPr="004F5888">
        <w:rPr>
          <w:rFonts w:ascii="Times New Roman" w:hAnsi="Times New Roman" w:cs="Times New Roman"/>
          <w:sz w:val="28"/>
          <w:szCs w:val="28"/>
        </w:rPr>
        <w:t xml:space="preserve">С возрастом значительно снижаются такие когнитивные способности, как подвижный интеллект (когнитивная гибкость) – способность решать задачи, не опираясь на полученное образование или практический опыт. Значительно хуже пожилые люди выполняют задания на распределенное и избирательное внимание – им тяжелее концентрировать внимание на двух и более источниках информации или избирательно отслеживать только один источник информации, не обращая внимания на помехи. В заданиях на кратковременную память успешность пожилых людей зависит от сложности задачи. Предполагается, что в основе этого ухудшения лежит использование неэффективных стратегий заучивания (молодые при запоминании ряда цифр пытаются распределить их на отрезки, пожилые – стараются запомнить </w:t>
      </w:r>
      <w:r w:rsidRPr="004F5888">
        <w:rPr>
          <w:rFonts w:ascii="Times New Roman" w:hAnsi="Times New Roman" w:cs="Times New Roman"/>
          <w:sz w:val="28"/>
          <w:szCs w:val="28"/>
        </w:rPr>
        <w:lastRenderedPageBreak/>
        <w:t>целиком). Ухудшаются процессы, связанные с высокоэффективными процессами контроля, которые в меньшей степени были нарушены у людей, владеющих двумя языками, которым для использования одного языка требовалось постоянное по</w:t>
      </w:r>
      <w:r w:rsidR="00AC352A" w:rsidRPr="004F5888">
        <w:rPr>
          <w:rFonts w:ascii="Times New Roman" w:hAnsi="Times New Roman" w:cs="Times New Roman"/>
          <w:sz w:val="28"/>
          <w:szCs w:val="28"/>
        </w:rPr>
        <w:t>давление знаний другого</w:t>
      </w:r>
      <w:r w:rsidRPr="004F5888">
        <w:rPr>
          <w:rFonts w:ascii="Times New Roman" w:hAnsi="Times New Roman" w:cs="Times New Roman"/>
          <w:sz w:val="28"/>
          <w:szCs w:val="28"/>
        </w:rPr>
        <w:t>. Возможно, что снижение подвижного интеллекта у пожилых связано с уменьшением «резерва» клеток, из которых рекрутируются нейроны, специализирующиеся на вновь формируемых элементах индивидуального опыта</w:t>
      </w:r>
    </w:p>
    <w:p w14:paraId="2A808795" w14:textId="77777777" w:rsidR="009E2E90" w:rsidRPr="004F5888" w:rsidRDefault="009E2E90" w:rsidP="004F5888">
      <w:pPr>
        <w:pStyle w:val="aa"/>
        <w:shd w:val="clear" w:color="auto" w:fill="FFFFFF"/>
        <w:spacing w:before="0" w:beforeAutospacing="0" w:after="0" w:afterAutospacing="0"/>
        <w:jc w:val="both"/>
        <w:rPr>
          <w:sz w:val="28"/>
          <w:szCs w:val="28"/>
        </w:rPr>
      </w:pPr>
      <w:r w:rsidRPr="004F5888">
        <w:rPr>
          <w:sz w:val="28"/>
          <w:szCs w:val="28"/>
        </w:rPr>
        <w:t>Когнитивная тренировка и когнитивная реабилитация-это немедикаментозные методы, которые направлены на то, чтобы помочь людям с ранней стадией деменции максимально использовать свою память и когнитивные функции, несмотря на трудности, которые они испытывают. Когнитивный тренинг фокусируется на управляемой практике по набору задач, которые отражают определенные когнитивные функции, такие как память, внимание или решение проблем. Когнитивная реабилитация фокусируется на выявлении и решении индивидуальных потребностей и целей, которые могут потребовать стратегий для получения новой информации или компенсаторных методов, таких как использование средств памяти.</w:t>
      </w:r>
    </w:p>
    <w:p w14:paraId="1FDE3B85" w14:textId="77777777" w:rsidR="009E2E90" w:rsidRPr="004F5888" w:rsidRDefault="009E2E90" w:rsidP="004F5888">
      <w:pPr>
        <w:pStyle w:val="aa"/>
        <w:shd w:val="clear" w:color="auto" w:fill="FFFFFF"/>
        <w:spacing w:before="0" w:beforeAutospacing="0" w:after="0" w:afterAutospacing="0"/>
        <w:jc w:val="both"/>
        <w:rPr>
          <w:sz w:val="28"/>
          <w:szCs w:val="28"/>
        </w:rPr>
      </w:pPr>
      <w:r w:rsidRPr="004F5888">
        <w:rPr>
          <w:sz w:val="28"/>
          <w:szCs w:val="28"/>
        </w:rPr>
        <w:t>Этот обзор включал 11 испытаний когнитивного тренинга и одно испытание когнитивной реабилитации. Мы не нашли никаких доказательств эффективности когнитивного тренинга в улучшении когнитивного функционирования, настроения или повседневной деятельности у людей с легкой и умеренной болезнью Альцгеймера или сосудистой деменцией; однако качество исследований, как правило, было невысоким. Однократное исследование когнитивной реабилитации дало предварительные указания на потенциальные преимущества индивидуальной когнитивной реабилитации в улучшении повседневной деятельности у людей с легкой формой болезни Альцгеймера. Необходимы более качественные исследования как когнитивного тренинга, так и когнитивной реабилитации, чтобы установить их эффективность для людей с ранней стадией деменции.</w:t>
      </w:r>
    </w:p>
    <w:p w14:paraId="69C06FDF" w14:textId="77777777" w:rsidR="009E2E90" w:rsidRPr="004F5888" w:rsidRDefault="009E2E90" w:rsidP="004F5888">
      <w:pPr>
        <w:spacing w:after="0" w:line="240" w:lineRule="auto"/>
        <w:jc w:val="both"/>
        <w:rPr>
          <w:rFonts w:ascii="Times New Roman" w:hAnsi="Times New Roman" w:cs="Times New Roman"/>
          <w:sz w:val="28"/>
          <w:szCs w:val="28"/>
          <w:shd w:val="clear" w:color="auto" w:fill="FFFFFF"/>
        </w:rPr>
      </w:pPr>
      <w:r w:rsidRPr="004F5888">
        <w:rPr>
          <w:rFonts w:ascii="Times New Roman" w:hAnsi="Times New Roman" w:cs="Times New Roman"/>
          <w:sz w:val="28"/>
          <w:szCs w:val="28"/>
        </w:rPr>
        <w:t>Прогресс в понимании функционирования памяти и связанных с ней когнитивных функций, а также механизмов, лежащих в основе обучения, способствовал разработке более конкретных подходов, призванных помочь поддерживать или улучшать когнитивное функционирование и благополучие людей с БА или сосудистой деменцией</w:t>
      </w:r>
      <w:r w:rsidRPr="004F5888">
        <w:rPr>
          <w:rFonts w:ascii="Times New Roman" w:eastAsia="MS Gothic" w:hAnsi="Times New Roman" w:cs="Times New Roman"/>
          <w:sz w:val="28"/>
          <w:szCs w:val="28"/>
        </w:rPr>
        <w:t>－</w:t>
      </w:r>
      <w:r w:rsidRPr="004F5888">
        <w:rPr>
          <w:rFonts w:ascii="Times New Roman" w:hAnsi="Times New Roman" w:cs="Times New Roman"/>
          <w:sz w:val="28"/>
          <w:szCs w:val="28"/>
        </w:rPr>
        <w:t>чаще всего на более мягких стадиях. Эти более поздние подходы к когнитивным вмешательствам чаще всего классифицируются либо как </w:t>
      </w:r>
      <w:r w:rsidRPr="004F5888">
        <w:rPr>
          <w:rFonts w:ascii="Times New Roman" w:hAnsi="Times New Roman" w:cs="Times New Roman"/>
          <w:i/>
          <w:iCs/>
          <w:sz w:val="28"/>
          <w:szCs w:val="28"/>
          <w:shd w:val="clear" w:color="auto" w:fill="FFFFFF"/>
        </w:rPr>
        <w:t>когнитивная тренировка</w:t>
      </w:r>
      <w:r w:rsidRPr="004F5888">
        <w:rPr>
          <w:rFonts w:ascii="Times New Roman" w:hAnsi="Times New Roman" w:cs="Times New Roman"/>
          <w:sz w:val="28"/>
          <w:szCs w:val="28"/>
        </w:rPr>
        <w:t> (или "переподготовка", или "реабилитация", или "тренировка мозга"), либо </w:t>
      </w:r>
      <w:r w:rsidRPr="004F5888">
        <w:rPr>
          <w:rFonts w:ascii="Times New Roman" w:hAnsi="Times New Roman" w:cs="Times New Roman"/>
          <w:i/>
          <w:iCs/>
          <w:sz w:val="28"/>
          <w:szCs w:val="28"/>
          <w:shd w:val="clear" w:color="auto" w:fill="FFFFFF"/>
        </w:rPr>
        <w:t>как когнитивная реабилитация</w:t>
      </w:r>
      <w:r w:rsidRPr="004F5888">
        <w:rPr>
          <w:rFonts w:ascii="Times New Roman" w:hAnsi="Times New Roman" w:cs="Times New Roman"/>
          <w:sz w:val="28"/>
          <w:szCs w:val="28"/>
          <w:shd w:val="clear" w:color="auto" w:fill="FFFFFF"/>
        </w:rPr>
        <w:t>. Эти термины применялись и продолжают применяться в литературе несколько взаимозаменяемо (например</w:t>
      </w:r>
      <w:hyperlink r:id="rId19" w:anchor="CD003260-bbs2-0093" w:history="1">
        <w:r w:rsidRPr="004F5888">
          <w:rPr>
            <w:rStyle w:val="a9"/>
            <w:rFonts w:ascii="Times New Roman" w:hAnsi="Times New Roman" w:cs="Times New Roman"/>
            <w:color w:val="auto"/>
            <w:sz w:val="28"/>
            <w:szCs w:val="28"/>
            <w:shd w:val="clear" w:color="auto" w:fill="FFFFFF"/>
          </w:rPr>
          <w:t xml:space="preserve">, </w:t>
        </w:r>
        <w:proofErr w:type="spellStart"/>
        <w:r w:rsidRPr="004F5888">
          <w:rPr>
            <w:rStyle w:val="a9"/>
            <w:rFonts w:ascii="Times New Roman" w:hAnsi="Times New Roman" w:cs="Times New Roman"/>
            <w:color w:val="auto"/>
            <w:sz w:val="28"/>
            <w:szCs w:val="28"/>
            <w:shd w:val="clear" w:color="auto" w:fill="FFFFFF"/>
          </w:rPr>
          <w:t>Fernandez</w:t>
        </w:r>
        <w:proofErr w:type="spellEnd"/>
        <w:r w:rsidRPr="004F5888">
          <w:rPr>
            <w:rStyle w:val="a9"/>
            <w:rFonts w:ascii="Times New Roman" w:hAnsi="Times New Roman" w:cs="Times New Roman"/>
            <w:color w:val="auto"/>
            <w:sz w:val="28"/>
            <w:szCs w:val="28"/>
            <w:shd w:val="clear" w:color="auto" w:fill="FFFFFF"/>
          </w:rPr>
          <w:t>-Prado 2012</w:t>
        </w:r>
      </w:hyperlink>
      <w:r w:rsidRPr="004F5888">
        <w:rPr>
          <w:rFonts w:ascii="Times New Roman" w:hAnsi="Times New Roman" w:cs="Times New Roman"/>
          <w:sz w:val="28"/>
          <w:szCs w:val="28"/>
          <w:shd w:val="clear" w:color="auto" w:fill="FFFFFF"/>
        </w:rPr>
        <w:t>; </w:t>
      </w:r>
      <w:proofErr w:type="spellStart"/>
      <w:r w:rsidR="00667E06">
        <w:fldChar w:fldCharType="begin"/>
      </w:r>
      <w:r w:rsidR="00667E06">
        <w:instrText xml:space="preserve"> HYPERLINK "https://www.cochranelibrary.com/cdsr/doi/</w:instrText>
      </w:r>
      <w:r w:rsidR="00667E06">
        <w:instrText xml:space="preserve">10.1002/14651858.CD003260.pub2/references" \l "CD003260-bbs2-0034" </w:instrText>
      </w:r>
      <w:r w:rsidR="00667E06">
        <w:fldChar w:fldCharType="separate"/>
      </w:r>
      <w:r w:rsidRPr="004F5888">
        <w:rPr>
          <w:rStyle w:val="a9"/>
          <w:rFonts w:ascii="Times New Roman" w:hAnsi="Times New Roman" w:cs="Times New Roman"/>
          <w:color w:val="auto"/>
          <w:sz w:val="28"/>
          <w:szCs w:val="28"/>
          <w:shd w:val="clear" w:color="auto" w:fill="FFFFFF"/>
        </w:rPr>
        <w:t>Giordano</w:t>
      </w:r>
      <w:proofErr w:type="spellEnd"/>
      <w:r w:rsidRPr="004F5888">
        <w:rPr>
          <w:rStyle w:val="a9"/>
          <w:rFonts w:ascii="Times New Roman" w:hAnsi="Times New Roman" w:cs="Times New Roman"/>
          <w:color w:val="auto"/>
          <w:sz w:val="28"/>
          <w:szCs w:val="28"/>
          <w:shd w:val="clear" w:color="auto" w:fill="FFFFFF"/>
        </w:rPr>
        <w:t xml:space="preserve"> 2010</w:t>
      </w:r>
      <w:r w:rsidR="00667E06">
        <w:rPr>
          <w:rStyle w:val="a9"/>
          <w:rFonts w:ascii="Times New Roman" w:hAnsi="Times New Roman" w:cs="Times New Roman"/>
          <w:color w:val="auto"/>
          <w:sz w:val="28"/>
          <w:szCs w:val="28"/>
          <w:shd w:val="clear" w:color="auto" w:fill="FFFFFF"/>
        </w:rPr>
        <w:fldChar w:fldCharType="end"/>
      </w:r>
      <w:r w:rsidRPr="004F5888">
        <w:rPr>
          <w:rFonts w:ascii="Times New Roman" w:hAnsi="Times New Roman" w:cs="Times New Roman"/>
          <w:sz w:val="28"/>
          <w:szCs w:val="28"/>
          <w:shd w:val="clear" w:color="auto" w:fill="FFFFFF"/>
        </w:rPr>
        <w:t>); поэтому в предыдущих версиях настоящего обзора (</w:t>
      </w:r>
      <w:proofErr w:type="spellStart"/>
      <w:r w:rsidR="0093135B">
        <w:fldChar w:fldCharType="begin"/>
      </w:r>
      <w:r w:rsidR="0093135B">
        <w:instrText xml:space="preserve"> HYPERLINK "https://www.cochranelibrary.com/cdsr/doi/10.1002/14651858.CD003260.pub2/references" \l "CD003260-bbs2-0143" </w:instrText>
      </w:r>
      <w:r w:rsidR="0093135B">
        <w:fldChar w:fldCharType="separate"/>
      </w:r>
      <w:r w:rsidRPr="004F5888">
        <w:rPr>
          <w:rStyle w:val="a9"/>
          <w:rFonts w:ascii="Times New Roman" w:hAnsi="Times New Roman" w:cs="Times New Roman"/>
          <w:color w:val="auto"/>
          <w:sz w:val="28"/>
          <w:szCs w:val="28"/>
          <w:shd w:val="clear" w:color="auto" w:fill="FFFFFF"/>
        </w:rPr>
        <w:t>Clare</w:t>
      </w:r>
      <w:proofErr w:type="spellEnd"/>
      <w:r w:rsidRPr="004F5888">
        <w:rPr>
          <w:rStyle w:val="a9"/>
          <w:rFonts w:ascii="Times New Roman" w:hAnsi="Times New Roman" w:cs="Times New Roman"/>
          <w:color w:val="auto"/>
          <w:sz w:val="28"/>
          <w:szCs w:val="28"/>
          <w:shd w:val="clear" w:color="auto" w:fill="FFFFFF"/>
        </w:rPr>
        <w:t xml:space="preserve"> 2003</w:t>
      </w:r>
      <w:r w:rsidR="0093135B">
        <w:rPr>
          <w:rStyle w:val="a9"/>
          <w:rFonts w:ascii="Times New Roman" w:hAnsi="Times New Roman" w:cs="Times New Roman"/>
          <w:color w:val="auto"/>
          <w:sz w:val="28"/>
          <w:szCs w:val="28"/>
          <w:shd w:val="clear" w:color="auto" w:fill="FFFFFF"/>
        </w:rPr>
        <w:fldChar w:fldCharType="end"/>
      </w:r>
      <w:r w:rsidRPr="004F5888">
        <w:rPr>
          <w:rFonts w:ascii="Times New Roman" w:hAnsi="Times New Roman" w:cs="Times New Roman"/>
          <w:sz w:val="28"/>
          <w:szCs w:val="28"/>
          <w:shd w:val="clear" w:color="auto" w:fill="FFFFFF"/>
        </w:rPr>
        <w:t>; </w:t>
      </w:r>
      <w:proofErr w:type="spellStart"/>
      <w:r w:rsidR="00667E06">
        <w:fldChar w:fldCharType="begin"/>
      </w:r>
      <w:r w:rsidR="00667E06">
        <w:instrText xml:space="preserve"> HYPERLINK "https://www.cochranelibrary.com/cdsr/doi/10.1002/14651858.CD003260.pub2/references" \l "CD003260-bbs2-0144" </w:instrText>
      </w:r>
      <w:r w:rsidR="00667E06">
        <w:fldChar w:fldCharType="separate"/>
      </w:r>
      <w:r w:rsidRPr="004F5888">
        <w:rPr>
          <w:rStyle w:val="a9"/>
          <w:rFonts w:ascii="Times New Roman" w:hAnsi="Times New Roman" w:cs="Times New Roman"/>
          <w:color w:val="auto"/>
          <w:sz w:val="28"/>
          <w:szCs w:val="28"/>
          <w:shd w:val="clear" w:color="auto" w:fill="FFFFFF"/>
        </w:rPr>
        <w:t>Clare</w:t>
      </w:r>
      <w:proofErr w:type="spellEnd"/>
      <w:r w:rsidRPr="004F5888">
        <w:rPr>
          <w:rStyle w:val="a9"/>
          <w:rFonts w:ascii="Times New Roman" w:hAnsi="Times New Roman" w:cs="Times New Roman"/>
          <w:color w:val="auto"/>
          <w:sz w:val="28"/>
          <w:szCs w:val="28"/>
          <w:shd w:val="clear" w:color="auto" w:fill="FFFFFF"/>
        </w:rPr>
        <w:t xml:space="preserve"> 2008</w:t>
      </w:r>
      <w:r w:rsidR="00667E06">
        <w:rPr>
          <w:rStyle w:val="a9"/>
          <w:rFonts w:ascii="Times New Roman" w:hAnsi="Times New Roman" w:cs="Times New Roman"/>
          <w:color w:val="auto"/>
          <w:sz w:val="28"/>
          <w:szCs w:val="28"/>
          <w:shd w:val="clear" w:color="auto" w:fill="FFFFFF"/>
        </w:rPr>
        <w:fldChar w:fldCharType="end"/>
      </w:r>
      <w:r w:rsidRPr="004F5888">
        <w:rPr>
          <w:rFonts w:ascii="Times New Roman" w:hAnsi="Times New Roman" w:cs="Times New Roman"/>
          <w:sz w:val="28"/>
          <w:szCs w:val="28"/>
          <w:shd w:val="clear" w:color="auto" w:fill="FFFFFF"/>
        </w:rPr>
        <w:t>) мы предложили следующие широкие определения и описания с целью прояснения природы этих двух связанных, но различных форм вмешательства.</w:t>
      </w:r>
    </w:p>
    <w:p w14:paraId="1690BF57" w14:textId="77777777" w:rsidR="009E2E90" w:rsidRPr="004F5888" w:rsidRDefault="009E2E90" w:rsidP="004F5888">
      <w:pPr>
        <w:pStyle w:val="4"/>
        <w:spacing w:line="240" w:lineRule="auto"/>
        <w:jc w:val="both"/>
        <w:rPr>
          <w:rFonts w:ascii="Times New Roman" w:hAnsi="Times New Roman" w:cs="Times New Roman"/>
          <w:color w:val="auto"/>
          <w:sz w:val="28"/>
          <w:szCs w:val="28"/>
        </w:rPr>
      </w:pPr>
      <w:r w:rsidRPr="004F5888">
        <w:rPr>
          <w:rFonts w:ascii="Times New Roman" w:hAnsi="Times New Roman" w:cs="Times New Roman"/>
          <w:color w:val="auto"/>
          <w:sz w:val="28"/>
          <w:szCs w:val="28"/>
        </w:rPr>
        <w:t>Когнитивный тренинг</w:t>
      </w:r>
    </w:p>
    <w:p w14:paraId="4A0933B6" w14:textId="77777777" w:rsidR="009E2E90" w:rsidRPr="004F5888" w:rsidRDefault="009E2E90" w:rsidP="004F5888">
      <w:pPr>
        <w:pStyle w:val="aa"/>
        <w:spacing w:before="0" w:beforeAutospacing="0" w:after="0" w:afterAutospacing="0"/>
        <w:jc w:val="both"/>
        <w:rPr>
          <w:sz w:val="28"/>
          <w:szCs w:val="28"/>
        </w:rPr>
      </w:pPr>
      <w:r w:rsidRPr="004F5888">
        <w:rPr>
          <w:sz w:val="28"/>
          <w:szCs w:val="28"/>
        </w:rPr>
        <w:t xml:space="preserve">Когнитивная тренировка обычно включает в себя управляемую практику над набором стандартизированных задач, предназначенных для отражения конкретных когнитивных функций, таких как память, внимание или решение проблем. Задачи </w:t>
      </w:r>
      <w:r w:rsidRPr="004F5888">
        <w:rPr>
          <w:sz w:val="28"/>
          <w:szCs w:val="28"/>
        </w:rPr>
        <w:lastRenderedPageBreak/>
        <w:t>могут быть представлены в бумажно-карандашной (</w:t>
      </w:r>
      <w:proofErr w:type="spellStart"/>
      <w:r w:rsidR="0093135B">
        <w:fldChar w:fldCharType="begin"/>
      </w:r>
      <w:r w:rsidR="0093135B">
        <w:instrText xml:space="preserve"> HYPERLINK "https://www.cochranelibrary.com/cdsr/doi/10.1002/14651858.CD003260.pub2/references" \l "CD003260-bbs2-0004" </w:instrText>
      </w:r>
      <w:r w:rsidR="0093135B">
        <w:fldChar w:fldCharType="separate"/>
      </w:r>
      <w:r w:rsidRPr="004F5888">
        <w:rPr>
          <w:rStyle w:val="a9"/>
          <w:color w:val="auto"/>
          <w:sz w:val="28"/>
          <w:szCs w:val="28"/>
        </w:rPr>
        <w:t>Davis</w:t>
      </w:r>
      <w:proofErr w:type="spellEnd"/>
      <w:r w:rsidRPr="004F5888">
        <w:rPr>
          <w:rStyle w:val="a9"/>
          <w:color w:val="auto"/>
          <w:sz w:val="28"/>
          <w:szCs w:val="28"/>
        </w:rPr>
        <w:t xml:space="preserve"> 2001</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w:instrText>
      </w:r>
      <w:r w:rsidR="00667E06">
        <w:instrText xml:space="preserve">om/cdsr/doi/10.1002/14651858.CD003260.pub2/references" \l "CD003260-bbs2-0005" </w:instrText>
      </w:r>
      <w:r w:rsidR="00667E06">
        <w:fldChar w:fldCharType="separate"/>
      </w:r>
      <w:r w:rsidRPr="004F5888">
        <w:rPr>
          <w:rStyle w:val="a9"/>
          <w:color w:val="auto"/>
          <w:sz w:val="28"/>
          <w:szCs w:val="28"/>
        </w:rPr>
        <w:t>de</w:t>
      </w:r>
      <w:proofErr w:type="spellEnd"/>
      <w:r w:rsidRPr="004F5888">
        <w:rPr>
          <w:rStyle w:val="a9"/>
          <w:color w:val="auto"/>
          <w:sz w:val="28"/>
          <w:szCs w:val="28"/>
        </w:rPr>
        <w:t xml:space="preserve"> Vreese 1998</w:t>
      </w:r>
      <w:r w:rsidR="00667E06">
        <w:rPr>
          <w:rStyle w:val="a9"/>
          <w:color w:val="auto"/>
          <w:sz w:val="28"/>
          <w:szCs w:val="28"/>
        </w:rPr>
        <w:fldChar w:fldCharType="end"/>
      </w:r>
      <w:r w:rsidRPr="004F5888">
        <w:rPr>
          <w:sz w:val="28"/>
          <w:szCs w:val="28"/>
        </w:rPr>
        <w:t>; </w:t>
      </w:r>
      <w:hyperlink r:id="rId20" w:anchor="CD003260-bbs2-0011" w:history="1">
        <w:r w:rsidRPr="004F5888">
          <w:rPr>
            <w:rStyle w:val="a9"/>
            <w:color w:val="auto"/>
            <w:sz w:val="28"/>
            <w:szCs w:val="28"/>
          </w:rPr>
          <w:t>Quayhagen 1995</w:t>
        </w:r>
      </w:hyperlink>
      <w:r w:rsidRPr="004F5888">
        <w:rPr>
          <w:sz w:val="28"/>
          <w:szCs w:val="28"/>
        </w:rPr>
        <w:t>; </w:t>
      </w:r>
      <w:hyperlink r:id="rId21" w:anchor="CD003260-bbs2-0012" w:history="1">
        <w:r w:rsidRPr="004F5888">
          <w:rPr>
            <w:rStyle w:val="a9"/>
            <w:color w:val="auto"/>
            <w:sz w:val="28"/>
            <w:szCs w:val="28"/>
          </w:rPr>
          <w:t>Quayhagen 2000</w:t>
        </w:r>
      </w:hyperlink>
      <w:r w:rsidRPr="004F5888">
        <w:rPr>
          <w:sz w:val="28"/>
          <w:szCs w:val="28"/>
        </w:rPr>
        <w:t>) или компьютеризированной (</w:t>
      </w:r>
      <w:proofErr w:type="spellStart"/>
      <w:r w:rsidR="0093135B">
        <w:fldChar w:fldCharType="begin"/>
      </w:r>
      <w:r w:rsidR="0093135B">
        <w:instrText xml:space="preserve"> HYPERLINK "https://www.cochranelibrary.com/cdsr/doi/10.1002/14651858.CD003260.pub2/references" \l "CD003260-bbs2-0007" </w:instrText>
      </w:r>
      <w:r w:rsidR="0093135B">
        <w:fldChar w:fldCharType="separate"/>
      </w:r>
      <w:r w:rsidRPr="004F5888">
        <w:rPr>
          <w:rStyle w:val="a9"/>
          <w:color w:val="auto"/>
          <w:sz w:val="28"/>
          <w:szCs w:val="28"/>
        </w:rPr>
        <w:t>Heiss</w:t>
      </w:r>
      <w:proofErr w:type="spellEnd"/>
      <w:r w:rsidRPr="004F5888">
        <w:rPr>
          <w:rStyle w:val="a9"/>
          <w:color w:val="auto"/>
          <w:sz w:val="28"/>
          <w:szCs w:val="28"/>
        </w:rPr>
        <w:t xml:space="preserve"> 1993</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"https://www.cochranelibrary.com/cdsr/doi/10.1002/14651858.CD003260.pub2/references" \l "CD003260-bbs2-0101" </w:instrText>
      </w:r>
      <w:r w:rsidR="00667E06">
        <w:fldChar w:fldCharType="separate"/>
      </w:r>
      <w:r w:rsidRPr="004F5888">
        <w:rPr>
          <w:rStyle w:val="a9"/>
          <w:color w:val="auto"/>
          <w:sz w:val="28"/>
          <w:szCs w:val="28"/>
        </w:rPr>
        <w:t>Hofmann</w:t>
      </w:r>
      <w:proofErr w:type="spellEnd"/>
      <w:r w:rsidRPr="004F5888">
        <w:rPr>
          <w:rStyle w:val="a9"/>
          <w:color w:val="auto"/>
          <w:sz w:val="28"/>
          <w:szCs w:val="28"/>
        </w:rPr>
        <w:t xml:space="preserve"> 1996</w:t>
      </w:r>
      <w:r w:rsidR="00667E06">
        <w:rPr>
          <w:rStyle w:val="a9"/>
          <w:color w:val="auto"/>
          <w:sz w:val="28"/>
          <w:szCs w:val="28"/>
        </w:rPr>
        <w:fldChar w:fldCharType="end"/>
      </w:r>
      <w:r w:rsidRPr="004F5888">
        <w:rPr>
          <w:sz w:val="28"/>
          <w:szCs w:val="28"/>
        </w:rPr>
        <w:t>) форме, а также могут включать аналоги деятельности повседневной жизни (</w:t>
      </w:r>
      <w:proofErr w:type="spellStart"/>
      <w:r w:rsidR="0093135B">
        <w:fldChar w:fldCharType="begin"/>
      </w:r>
      <w:r w:rsidR="0093135B">
        <w:instrText xml:space="preserve"> HYPERLINK "https://www.cochranelibrary.com/cdsr/doi/10.1002/14651858.CD003260.pub2/references" \l "CD003260-bbs2-0092" </w:instrText>
      </w:r>
      <w:r w:rsidR="0093135B">
        <w:fldChar w:fldCharType="separate"/>
      </w:r>
      <w:r w:rsidRPr="004F5888">
        <w:rPr>
          <w:rStyle w:val="a9"/>
          <w:color w:val="auto"/>
          <w:sz w:val="28"/>
          <w:szCs w:val="28"/>
        </w:rPr>
        <w:t>Farina</w:t>
      </w:r>
      <w:proofErr w:type="spellEnd"/>
      <w:r w:rsidRPr="004F5888">
        <w:rPr>
          <w:rStyle w:val="a9"/>
          <w:color w:val="auto"/>
          <w:sz w:val="28"/>
          <w:szCs w:val="28"/>
        </w:rPr>
        <w:t xml:space="preserve"> 2002</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"https://www.cochranelibrary.com/cdsr/doi/10.1002/14651858.CD003260.pub2/references" \l "CD003260-bbs2-0140" </w:instrText>
      </w:r>
      <w:r w:rsidR="00667E06">
        <w:fldChar w:fldCharType="separate"/>
      </w:r>
      <w:r w:rsidRPr="004F5888">
        <w:rPr>
          <w:rStyle w:val="a9"/>
          <w:color w:val="auto"/>
          <w:sz w:val="28"/>
          <w:szCs w:val="28"/>
        </w:rPr>
        <w:t>Zanetti</w:t>
      </w:r>
      <w:proofErr w:type="spellEnd"/>
      <w:r w:rsidRPr="004F5888">
        <w:rPr>
          <w:rStyle w:val="a9"/>
          <w:color w:val="auto"/>
          <w:sz w:val="28"/>
          <w:szCs w:val="28"/>
        </w:rPr>
        <w:t xml:space="preserve"> 1994</w:t>
      </w:r>
      <w:r w:rsidR="00667E06">
        <w:rPr>
          <w:rStyle w:val="a9"/>
          <w:color w:val="auto"/>
          <w:sz w:val="28"/>
          <w:szCs w:val="28"/>
        </w:rPr>
        <w:fldChar w:fldCharType="end"/>
      </w:r>
      <w:r w:rsidRPr="004F5888">
        <w:rPr>
          <w:sz w:val="28"/>
          <w:szCs w:val="28"/>
        </w:rPr>
        <w:t>; </w:t>
      </w:r>
      <w:hyperlink r:id="rId22" w:anchor="CD003260-bbs2-0141" w:history="1">
        <w:r w:rsidRPr="004F5888">
          <w:rPr>
            <w:rStyle w:val="a9"/>
            <w:color w:val="auto"/>
            <w:sz w:val="28"/>
            <w:szCs w:val="28"/>
          </w:rPr>
          <w:t>Zanetti 1997</w:t>
        </w:r>
      </w:hyperlink>
      <w:r w:rsidRPr="004F5888">
        <w:rPr>
          <w:sz w:val="28"/>
          <w:szCs w:val="28"/>
        </w:rPr>
        <w:t>; </w:t>
      </w:r>
      <w:hyperlink r:id="rId23" w:anchor="CD003260-bbs2-0142" w:history="1">
        <w:r w:rsidRPr="004F5888">
          <w:rPr>
            <w:rStyle w:val="a9"/>
            <w:color w:val="auto"/>
            <w:sz w:val="28"/>
            <w:szCs w:val="28"/>
          </w:rPr>
          <w:t>Zanetti 2001</w:t>
        </w:r>
      </w:hyperlink>
      <w:r w:rsidRPr="004F5888">
        <w:rPr>
          <w:sz w:val="28"/>
          <w:szCs w:val="28"/>
        </w:rPr>
        <w:t>; </w:t>
      </w:r>
      <w:hyperlink r:id="rId24" w:anchor="CD003260-bbs2-0009" w:history="1">
        <w:r w:rsidRPr="004F5888">
          <w:rPr>
            <w:rStyle w:val="a9"/>
            <w:color w:val="auto"/>
            <w:sz w:val="28"/>
            <w:szCs w:val="28"/>
          </w:rPr>
          <w:t>Loewenstein 2004</w:t>
        </w:r>
      </w:hyperlink>
      <w:r w:rsidRPr="004F5888">
        <w:rPr>
          <w:sz w:val="28"/>
          <w:szCs w:val="28"/>
        </w:rPr>
        <w:t>; </w:t>
      </w:r>
      <w:hyperlink r:id="rId25" w:anchor="CD003260-bbs2-0010" w:history="1">
        <w:r w:rsidRPr="004F5888">
          <w:rPr>
            <w:rStyle w:val="a9"/>
            <w:color w:val="auto"/>
            <w:sz w:val="28"/>
            <w:szCs w:val="28"/>
          </w:rPr>
          <w:t>Neely 2009</w:t>
        </w:r>
      </w:hyperlink>
      <w:r w:rsidRPr="004F5888">
        <w:rPr>
          <w:sz w:val="28"/>
          <w:szCs w:val="28"/>
        </w:rPr>
        <w:t>). Адаптация сложности задачи на основе индивидуального уровня производительности и адаптивное обучение (т. е. корректировка сложности задачи в ответ на изменения уровня производительности) становятся все более доступными с помощью компьютеризированных пакетов (например</w:t>
      </w:r>
      <w:hyperlink r:id="rId26" w:anchor="CD003260-bbs2-0123" w:history="1">
        <w:r w:rsidRPr="004F5888">
          <w:rPr>
            <w:rStyle w:val="a9"/>
            <w:color w:val="auto"/>
            <w:sz w:val="28"/>
            <w:szCs w:val="28"/>
          </w:rPr>
          <w:t xml:space="preserve">, </w:t>
        </w:r>
        <w:proofErr w:type="spellStart"/>
        <w:r w:rsidRPr="004F5888">
          <w:rPr>
            <w:rStyle w:val="a9"/>
            <w:color w:val="auto"/>
            <w:sz w:val="28"/>
            <w:szCs w:val="28"/>
          </w:rPr>
          <w:t>Peretz</w:t>
        </w:r>
        <w:proofErr w:type="spellEnd"/>
        <w:r w:rsidRPr="004F5888">
          <w:rPr>
            <w:rStyle w:val="a9"/>
            <w:color w:val="auto"/>
            <w:sz w:val="28"/>
            <w:szCs w:val="28"/>
          </w:rPr>
          <w:t xml:space="preserve"> 2011</w:t>
        </w:r>
      </w:hyperlink>
      <w:r w:rsidRPr="004F5888">
        <w:rPr>
          <w:sz w:val="28"/>
          <w:szCs w:val="28"/>
        </w:rPr>
        <w:t>). Одно из предположений, лежащих в основе когнитивного тренинга, состоит в том, что практика обладает потенциалом для улучшения или, по крайней мере, поддержания функционирования в данной области. Еще одно предположение состоит в том, что любые эффекты практики будут обобщаться за пределами непосредственного контекста обучения. Хотя это последнее предположение не часто подтверждается доказательствами (</w:t>
      </w:r>
      <w:proofErr w:type="spellStart"/>
      <w:r w:rsidR="0093135B">
        <w:fldChar w:fldCharType="begin"/>
      </w:r>
      <w:r w:rsidR="0093135B">
        <w:instrText xml:space="preserve"> HYPERLINK "https://www.cochranelibrary.com/cdsr/doi/10.1002/14651858.CD003260.pub2/references" \l "CD003260-bbs2-0121" </w:instrText>
      </w:r>
      <w:r w:rsidR="0093135B">
        <w:fldChar w:fldCharType="separate"/>
      </w:r>
      <w:r w:rsidRPr="004F5888">
        <w:rPr>
          <w:rStyle w:val="a9"/>
          <w:color w:val="auto"/>
          <w:sz w:val="28"/>
          <w:szCs w:val="28"/>
        </w:rPr>
        <w:t>Owen</w:t>
      </w:r>
      <w:proofErr w:type="spellEnd"/>
      <w:r w:rsidRPr="004F5888">
        <w:rPr>
          <w:rStyle w:val="a9"/>
          <w:color w:val="auto"/>
          <w:sz w:val="28"/>
          <w:szCs w:val="28"/>
        </w:rPr>
        <w:t xml:space="preserve"> 2010</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w:instrText>
      </w:r>
      <w:r w:rsidR="00667E06">
        <w:instrText xml:space="preserve">cdsr/doi/10.1002/14651858.CD003260.pub2/references" \l "CD003260-bbs2-0122" </w:instrText>
      </w:r>
      <w:r w:rsidR="00667E06">
        <w:fldChar w:fldCharType="separate"/>
      </w:r>
      <w:r w:rsidRPr="004F5888">
        <w:rPr>
          <w:rStyle w:val="a9"/>
          <w:color w:val="auto"/>
          <w:sz w:val="28"/>
          <w:szCs w:val="28"/>
        </w:rPr>
        <w:t>Papp</w:t>
      </w:r>
      <w:proofErr w:type="spellEnd"/>
      <w:r w:rsidRPr="004F5888">
        <w:rPr>
          <w:rStyle w:val="a9"/>
          <w:color w:val="auto"/>
          <w:sz w:val="28"/>
          <w:szCs w:val="28"/>
        </w:rPr>
        <w:t xml:space="preserve"> 2009</w:t>
      </w:r>
      <w:r w:rsidR="00667E06">
        <w:rPr>
          <w:rStyle w:val="a9"/>
          <w:color w:val="auto"/>
          <w:sz w:val="28"/>
          <w:szCs w:val="28"/>
        </w:rPr>
        <w:fldChar w:fldCharType="end"/>
      </w:r>
      <w:r w:rsidRPr="004F5888">
        <w:rPr>
          <w:sz w:val="28"/>
          <w:szCs w:val="28"/>
        </w:rPr>
        <w:t>), некоторые утверждают, что неспособность обеспечить передаваемые выгоды частично связана с проблемами проектирования задач (</w:t>
      </w:r>
      <w:proofErr w:type="spellStart"/>
      <w:r w:rsidR="0093135B">
        <w:fldChar w:fldCharType="begin"/>
      </w:r>
      <w:r w:rsidR="0093135B">
        <w:instrText xml:space="preserve"> HYPERLINK "https://www.cochranelibrary.com/cdsr/doi/10.1002/14651858.CD003260.pub2/references" \l "CD003260-bbs2-0104" </w:instrText>
      </w:r>
      <w:r w:rsidR="0093135B">
        <w:fldChar w:fldCharType="separate"/>
      </w:r>
      <w:r w:rsidRPr="004F5888">
        <w:rPr>
          <w:rStyle w:val="a9"/>
          <w:color w:val="auto"/>
          <w:sz w:val="28"/>
          <w:szCs w:val="28"/>
        </w:rPr>
        <w:t>Jaeggi</w:t>
      </w:r>
      <w:proofErr w:type="spellEnd"/>
      <w:r w:rsidRPr="004F5888">
        <w:rPr>
          <w:rStyle w:val="a9"/>
          <w:color w:val="auto"/>
          <w:sz w:val="28"/>
          <w:szCs w:val="28"/>
        </w:rPr>
        <w:t xml:space="preserve"> 2010</w:t>
      </w:r>
      <w:r w:rsidR="0093135B">
        <w:rPr>
          <w:rStyle w:val="a9"/>
          <w:color w:val="auto"/>
          <w:sz w:val="28"/>
          <w:szCs w:val="28"/>
        </w:rPr>
        <w:fldChar w:fldCharType="end"/>
      </w:r>
      <w:r w:rsidRPr="004F5888">
        <w:rPr>
          <w:sz w:val="28"/>
          <w:szCs w:val="28"/>
        </w:rPr>
        <w:t>). Некоторые авторы недавно расширили определение </w:t>
      </w:r>
      <w:r w:rsidRPr="004F5888">
        <w:rPr>
          <w:i/>
          <w:iCs/>
          <w:sz w:val="28"/>
          <w:szCs w:val="28"/>
        </w:rPr>
        <w:t>когнитивного тренинга</w:t>
      </w:r>
      <w:r w:rsidRPr="004F5888">
        <w:rPr>
          <w:sz w:val="28"/>
          <w:szCs w:val="28"/>
        </w:rPr>
        <w:t>, включив в него стратегическое обучение, которое включает обучение и практику стратегий, направленных на минимизацию когнитивных нарушений при одновременном повышении производительности (например, метод локусов, визуальных образов) и когнитивных упражнений (</w:t>
      </w:r>
      <w:proofErr w:type="spellStart"/>
      <w:r w:rsidR="0093135B">
        <w:fldChar w:fldCharType="begin"/>
      </w:r>
      <w:r w:rsidR="0093135B">
        <w:instrText xml:space="preserve"> HYPERLINK "https://www.cochranelibrary.com/cdsr/doi/10.1002/14651858.CD003260.pub2/references" \l "CD003260-bbs2-0096" </w:instrText>
      </w:r>
      <w:r w:rsidR="0093135B">
        <w:fldChar w:fldCharType="separate"/>
      </w:r>
      <w:r w:rsidRPr="004F5888">
        <w:rPr>
          <w:rStyle w:val="a9"/>
          <w:color w:val="auto"/>
          <w:sz w:val="28"/>
          <w:szCs w:val="28"/>
        </w:rPr>
        <w:t>Gates</w:t>
      </w:r>
      <w:proofErr w:type="spellEnd"/>
      <w:r w:rsidRPr="004F5888">
        <w:rPr>
          <w:rStyle w:val="a9"/>
          <w:color w:val="auto"/>
          <w:sz w:val="28"/>
          <w:szCs w:val="28"/>
        </w:rPr>
        <w:t xml:space="preserve"> 2011</w:t>
      </w:r>
      <w:r w:rsidR="0093135B">
        <w:rPr>
          <w:rStyle w:val="a9"/>
          <w:color w:val="auto"/>
          <w:sz w:val="28"/>
          <w:szCs w:val="28"/>
        </w:rPr>
        <w:fldChar w:fldCharType="end"/>
      </w:r>
      <w:r w:rsidRPr="004F5888">
        <w:rPr>
          <w:sz w:val="28"/>
          <w:szCs w:val="28"/>
        </w:rPr>
        <w:t>). Когнитивное обучение может быть предложено через индивидуальное (</w:t>
      </w:r>
      <w:proofErr w:type="spellStart"/>
      <w:r w:rsidR="0093135B">
        <w:fldChar w:fldCharType="begin"/>
      </w:r>
      <w:r w:rsidR="0093135B">
        <w:instrText xml:space="preserve"> HYPERLINK "https://www.cochranelibrary.com/cdsr/doi/10.1002/14651858.CD003260.pub2/references" \l "CD003260-bbs2-0004" </w:instrText>
      </w:r>
      <w:r w:rsidR="0093135B">
        <w:fldChar w:fldCharType="separate"/>
      </w:r>
      <w:r w:rsidRPr="004F5888">
        <w:rPr>
          <w:rStyle w:val="a9"/>
          <w:color w:val="auto"/>
          <w:sz w:val="28"/>
          <w:szCs w:val="28"/>
        </w:rPr>
        <w:t>Davis</w:t>
      </w:r>
      <w:proofErr w:type="spellEnd"/>
      <w:r w:rsidRPr="004F5888">
        <w:rPr>
          <w:rStyle w:val="a9"/>
          <w:color w:val="auto"/>
          <w:sz w:val="28"/>
          <w:szCs w:val="28"/>
        </w:rPr>
        <w:t xml:space="preserve"> 2001</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w:instrText>
      </w:r>
      <w:r w:rsidR="00667E06">
        <w:instrText xml:space="preserve"> "https://www.cochranelibrary.com/cdsr/doi/10.1002/14651858.CD003260.pub2/references" \l "CD003260-bbs2-0005" </w:instrText>
      </w:r>
      <w:r w:rsidR="00667E06">
        <w:fldChar w:fldCharType="separate"/>
      </w:r>
      <w:r w:rsidRPr="004F5888">
        <w:rPr>
          <w:rStyle w:val="a9"/>
          <w:color w:val="auto"/>
          <w:sz w:val="28"/>
          <w:szCs w:val="28"/>
        </w:rPr>
        <w:t>de</w:t>
      </w:r>
      <w:proofErr w:type="spellEnd"/>
      <w:r w:rsidRPr="004F5888">
        <w:rPr>
          <w:rStyle w:val="a9"/>
          <w:color w:val="auto"/>
          <w:sz w:val="28"/>
          <w:szCs w:val="28"/>
        </w:rPr>
        <w:t xml:space="preserve"> Vreese 1998</w:t>
      </w:r>
      <w:r w:rsidR="00667E06">
        <w:rPr>
          <w:rStyle w:val="a9"/>
          <w:color w:val="auto"/>
          <w:sz w:val="28"/>
          <w:szCs w:val="28"/>
        </w:rPr>
        <w:fldChar w:fldCharType="end"/>
      </w:r>
      <w:r w:rsidRPr="004F5888">
        <w:rPr>
          <w:sz w:val="28"/>
          <w:szCs w:val="28"/>
        </w:rPr>
        <w:t>; </w:t>
      </w:r>
      <w:hyperlink r:id="rId27" w:anchor="CD003260-bbs2-0008" w:history="1">
        <w:r w:rsidRPr="004F5888">
          <w:rPr>
            <w:rStyle w:val="a9"/>
            <w:color w:val="auto"/>
            <w:sz w:val="28"/>
            <w:szCs w:val="28"/>
          </w:rPr>
          <w:t>Koltai 2001</w:t>
        </w:r>
      </w:hyperlink>
      <w:r w:rsidRPr="004F5888">
        <w:rPr>
          <w:sz w:val="28"/>
          <w:szCs w:val="28"/>
        </w:rPr>
        <w:t>; </w:t>
      </w:r>
      <w:hyperlink r:id="rId28" w:anchor="CD003260-bbs2-0009" w:history="1">
        <w:r w:rsidRPr="004F5888">
          <w:rPr>
            <w:rStyle w:val="a9"/>
            <w:color w:val="auto"/>
            <w:sz w:val="28"/>
            <w:szCs w:val="28"/>
          </w:rPr>
          <w:t>Loewenstein 2004</w:t>
        </w:r>
      </w:hyperlink>
      <w:r w:rsidRPr="004F5888">
        <w:rPr>
          <w:sz w:val="28"/>
          <w:szCs w:val="28"/>
        </w:rPr>
        <w:t>; </w:t>
      </w:r>
      <w:hyperlink r:id="rId29" w:anchor="CD003260-bbs2-0092" w:history="1">
        <w:r w:rsidRPr="004F5888">
          <w:rPr>
            <w:rStyle w:val="a9"/>
            <w:color w:val="auto"/>
            <w:sz w:val="28"/>
            <w:szCs w:val="28"/>
          </w:rPr>
          <w:t>Farina 2002</w:t>
        </w:r>
      </w:hyperlink>
      <w:r w:rsidRPr="004F5888">
        <w:rPr>
          <w:sz w:val="28"/>
          <w:szCs w:val="28"/>
        </w:rPr>
        <w:t>) или групповое (</w:t>
      </w:r>
      <w:proofErr w:type="spellStart"/>
      <w:r w:rsidR="0093135B">
        <w:fldChar w:fldCharType="begin"/>
      </w:r>
      <w:r w:rsidR="0093135B">
        <w:instrText xml:space="preserve"> HYPERLINK "https://www.cochranelibrary.com/cdsr/doi/10.1002/14651858.CD003260.pub2/references" \l "CD003260-bbs2-0002" </w:instrText>
      </w:r>
      <w:r w:rsidR="0093135B">
        <w:fldChar w:fldCharType="separate"/>
      </w:r>
      <w:r w:rsidRPr="004F5888">
        <w:rPr>
          <w:rStyle w:val="a9"/>
          <w:color w:val="auto"/>
          <w:sz w:val="28"/>
          <w:szCs w:val="28"/>
        </w:rPr>
        <w:t>Cahn-Weiner</w:t>
      </w:r>
      <w:proofErr w:type="spellEnd"/>
      <w:r w:rsidRPr="004F5888">
        <w:rPr>
          <w:rStyle w:val="a9"/>
          <w:color w:val="auto"/>
          <w:sz w:val="28"/>
          <w:szCs w:val="28"/>
        </w:rPr>
        <w:t xml:space="preserve"> 2003</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"https://www.cochranelibrary.com/cdsr/doi/10.1002/14651858.</w:instrText>
      </w:r>
      <w:r w:rsidR="00667E06">
        <w:instrText xml:space="preserve">CD003260.pub2/references" \l "CD003260-bbs2-0008" </w:instrText>
      </w:r>
      <w:r w:rsidR="00667E06">
        <w:fldChar w:fldCharType="separate"/>
      </w:r>
      <w:r w:rsidRPr="004F5888">
        <w:rPr>
          <w:rStyle w:val="a9"/>
          <w:color w:val="auto"/>
          <w:sz w:val="28"/>
          <w:szCs w:val="28"/>
        </w:rPr>
        <w:t>Koltai</w:t>
      </w:r>
      <w:proofErr w:type="spellEnd"/>
      <w:r w:rsidRPr="004F5888">
        <w:rPr>
          <w:rStyle w:val="a9"/>
          <w:color w:val="auto"/>
          <w:sz w:val="28"/>
          <w:szCs w:val="28"/>
        </w:rPr>
        <w:t xml:space="preserve"> 2001</w:t>
      </w:r>
      <w:r w:rsidR="00667E06">
        <w:rPr>
          <w:rStyle w:val="a9"/>
          <w:color w:val="auto"/>
          <w:sz w:val="28"/>
          <w:szCs w:val="28"/>
        </w:rPr>
        <w:fldChar w:fldCharType="end"/>
      </w:r>
      <w:r w:rsidRPr="004F5888">
        <w:rPr>
          <w:sz w:val="28"/>
          <w:szCs w:val="28"/>
        </w:rPr>
        <w:t>; </w:t>
      </w:r>
      <w:hyperlink r:id="rId30" w:anchor="CD003260-bbs2-0028" w:history="1">
        <w:r w:rsidRPr="004F5888">
          <w:rPr>
            <w:rStyle w:val="a9"/>
            <w:color w:val="auto"/>
            <w:sz w:val="28"/>
            <w:szCs w:val="28"/>
          </w:rPr>
          <w:t>Ermini Fuenfsch 1995</w:t>
        </w:r>
      </w:hyperlink>
      <w:r w:rsidRPr="004F5888">
        <w:rPr>
          <w:sz w:val="28"/>
          <w:szCs w:val="28"/>
        </w:rPr>
        <w:t>; </w:t>
      </w:r>
      <w:hyperlink r:id="rId31" w:anchor="CD003260-bbs2-0107" w:history="1">
        <w:r w:rsidRPr="004F5888">
          <w:rPr>
            <w:rStyle w:val="a9"/>
            <w:color w:val="auto"/>
            <w:sz w:val="28"/>
            <w:szCs w:val="28"/>
          </w:rPr>
          <w:t>Kesslak 1997</w:t>
        </w:r>
      </w:hyperlink>
      <w:r w:rsidRPr="004F5888">
        <w:rPr>
          <w:sz w:val="28"/>
          <w:szCs w:val="28"/>
        </w:rPr>
        <w:t>; </w:t>
      </w:r>
      <w:hyperlink r:id="rId32" w:anchor="CD003260-bbs2-0116" w:history="1">
        <w:r w:rsidRPr="004F5888">
          <w:rPr>
            <w:rStyle w:val="a9"/>
            <w:color w:val="auto"/>
            <w:sz w:val="28"/>
            <w:szCs w:val="28"/>
          </w:rPr>
          <w:t>Moore 2001</w:t>
        </w:r>
      </w:hyperlink>
      <w:r w:rsidRPr="004F5888">
        <w:rPr>
          <w:sz w:val="28"/>
          <w:szCs w:val="28"/>
        </w:rPr>
        <w:t>) сеансы или могут быть облегчены членами семьи (</w:t>
      </w:r>
      <w:proofErr w:type="spellStart"/>
      <w:r w:rsidR="0093135B">
        <w:fldChar w:fldCharType="begin"/>
      </w:r>
      <w:r w:rsidR="0093135B">
        <w:instrText xml:space="preserve"> HYPERLINK "https://www.cochranelibrary.com/cdsr/doi/10.1002/14651858.CD003260.pub2/references" \l "CD003260-bbs2-0011" </w:instrText>
      </w:r>
      <w:r w:rsidR="0093135B">
        <w:fldChar w:fldCharType="separate"/>
      </w:r>
      <w:r w:rsidRPr="004F5888">
        <w:rPr>
          <w:rStyle w:val="a9"/>
          <w:color w:val="auto"/>
          <w:sz w:val="28"/>
          <w:szCs w:val="28"/>
        </w:rPr>
        <w:t>Quayhagen</w:t>
      </w:r>
      <w:proofErr w:type="spellEnd"/>
      <w:r w:rsidRPr="004F5888">
        <w:rPr>
          <w:rStyle w:val="a9"/>
          <w:color w:val="auto"/>
          <w:sz w:val="28"/>
          <w:szCs w:val="28"/>
        </w:rPr>
        <w:t xml:space="preserve"> 1995</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"https://www.cochranelibrary.com/cdsr/doi/1</w:instrText>
      </w:r>
      <w:r w:rsidR="00667E06">
        <w:instrText xml:space="preserve">0.1002/14651858.CD003260.pub2/references" \l "CD003260-bbs2-0012" </w:instrText>
      </w:r>
      <w:r w:rsidR="00667E06">
        <w:fldChar w:fldCharType="separate"/>
      </w:r>
      <w:r w:rsidRPr="004F5888">
        <w:rPr>
          <w:rStyle w:val="a9"/>
          <w:color w:val="auto"/>
          <w:sz w:val="28"/>
          <w:szCs w:val="28"/>
        </w:rPr>
        <w:t>Quayhagen</w:t>
      </w:r>
      <w:proofErr w:type="spellEnd"/>
      <w:r w:rsidRPr="004F5888">
        <w:rPr>
          <w:rStyle w:val="a9"/>
          <w:color w:val="auto"/>
          <w:sz w:val="28"/>
          <w:szCs w:val="28"/>
        </w:rPr>
        <w:t xml:space="preserve"> 2000</w:t>
      </w:r>
      <w:r w:rsidR="00667E06">
        <w:rPr>
          <w:rStyle w:val="a9"/>
          <w:color w:val="auto"/>
          <w:sz w:val="28"/>
          <w:szCs w:val="28"/>
        </w:rPr>
        <w:fldChar w:fldCharType="end"/>
      </w:r>
      <w:r w:rsidRPr="004F5888">
        <w:rPr>
          <w:sz w:val="28"/>
          <w:szCs w:val="28"/>
        </w:rPr>
        <w:t>; </w:t>
      </w:r>
      <w:hyperlink r:id="rId33" w:anchor="CD003260-bbs2-0010" w:history="1">
        <w:r w:rsidRPr="004F5888">
          <w:rPr>
            <w:rStyle w:val="a9"/>
            <w:color w:val="auto"/>
            <w:sz w:val="28"/>
            <w:szCs w:val="28"/>
          </w:rPr>
          <w:t>Neely 2009</w:t>
        </w:r>
      </w:hyperlink>
      <w:r w:rsidRPr="004F5888">
        <w:rPr>
          <w:sz w:val="28"/>
          <w:szCs w:val="28"/>
        </w:rPr>
        <w:t>) при поддержке терапевта. В соответствии с предположением о том, что когнитивная тренировка может усиливать эффекты фармакологической терапии (</w:t>
      </w:r>
      <w:proofErr w:type="spellStart"/>
      <w:r w:rsidR="0093135B">
        <w:fldChar w:fldCharType="begin"/>
      </w:r>
      <w:r w:rsidR="0093135B">
        <w:instrText xml:space="preserve"> HYPERLINK "https://www.cochranelibrary.com/cdsr/doi/10.1002/14651858.CD003260.pub2/references" \l "CD003260-bbs2-0119" </w:instrText>
      </w:r>
      <w:r w:rsidR="0093135B">
        <w:fldChar w:fldCharType="separate"/>
      </w:r>
      <w:r w:rsidRPr="004F5888">
        <w:rPr>
          <w:rStyle w:val="a9"/>
          <w:color w:val="auto"/>
          <w:sz w:val="28"/>
          <w:szCs w:val="28"/>
        </w:rPr>
        <w:t>Newhouse</w:t>
      </w:r>
      <w:proofErr w:type="spellEnd"/>
      <w:r w:rsidRPr="004F5888">
        <w:rPr>
          <w:rStyle w:val="a9"/>
          <w:color w:val="auto"/>
          <w:sz w:val="28"/>
          <w:szCs w:val="28"/>
        </w:rPr>
        <w:t xml:space="preserve"> 1997</w:t>
      </w:r>
      <w:r w:rsidR="0093135B">
        <w:rPr>
          <w:rStyle w:val="a9"/>
          <w:color w:val="auto"/>
          <w:sz w:val="28"/>
          <w:szCs w:val="28"/>
        </w:rPr>
        <w:fldChar w:fldCharType="end"/>
      </w:r>
      <w:r w:rsidRPr="004F5888">
        <w:rPr>
          <w:sz w:val="28"/>
          <w:szCs w:val="28"/>
        </w:rPr>
        <w:t>), в некоторых исследованиях оценивалась эффективность когнитивной тренировки в сочетании с применением ингибирующих ацетилхолинэстеразу препаратов (</w:t>
      </w:r>
      <w:proofErr w:type="spellStart"/>
      <w:r w:rsidR="0093135B">
        <w:fldChar w:fldCharType="begin"/>
      </w:r>
      <w:r w:rsidR="0093135B">
        <w:instrText xml:space="preserve"> HYPERLINK "https://www.cochranelibrary.com/cdsr/doi/10.1002/14651858.CD003260.pub2/references" \l "CD003260-bbs2-0002" </w:instrText>
      </w:r>
      <w:r w:rsidR="0093135B">
        <w:fldChar w:fldCharType="separate"/>
      </w:r>
      <w:r w:rsidRPr="004F5888">
        <w:rPr>
          <w:rStyle w:val="a9"/>
          <w:color w:val="auto"/>
          <w:sz w:val="28"/>
          <w:szCs w:val="28"/>
        </w:rPr>
        <w:t>Cahn-Weiner</w:t>
      </w:r>
      <w:proofErr w:type="spellEnd"/>
      <w:r w:rsidRPr="004F5888">
        <w:rPr>
          <w:rStyle w:val="a9"/>
          <w:color w:val="auto"/>
          <w:sz w:val="28"/>
          <w:szCs w:val="28"/>
        </w:rPr>
        <w:t xml:space="preserve"> 2003</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"https://www.cochranelibrary.com/cdsr/doi/10.1002/14651858.CD003260.pub2/references" \l "CD003260-bbs2-0005" </w:instrText>
      </w:r>
      <w:r w:rsidR="00667E06">
        <w:fldChar w:fldCharType="separate"/>
      </w:r>
      <w:r w:rsidRPr="004F5888">
        <w:rPr>
          <w:rStyle w:val="a9"/>
          <w:color w:val="auto"/>
          <w:sz w:val="28"/>
          <w:szCs w:val="28"/>
        </w:rPr>
        <w:t>de</w:t>
      </w:r>
      <w:proofErr w:type="spellEnd"/>
      <w:r w:rsidRPr="004F5888">
        <w:rPr>
          <w:rStyle w:val="a9"/>
          <w:color w:val="auto"/>
          <w:sz w:val="28"/>
          <w:szCs w:val="28"/>
        </w:rPr>
        <w:t xml:space="preserve"> Vreese 1998</w:t>
      </w:r>
      <w:r w:rsidR="00667E06">
        <w:rPr>
          <w:rStyle w:val="a9"/>
          <w:color w:val="auto"/>
          <w:sz w:val="28"/>
          <w:szCs w:val="28"/>
        </w:rPr>
        <w:fldChar w:fldCharType="end"/>
      </w:r>
      <w:r w:rsidRPr="004F5888">
        <w:rPr>
          <w:sz w:val="28"/>
          <w:szCs w:val="28"/>
        </w:rPr>
        <w:t>; </w:t>
      </w:r>
      <w:hyperlink r:id="rId34" w:anchor="CD003260-bbs2-0009" w:history="1">
        <w:r w:rsidRPr="004F5888">
          <w:rPr>
            <w:rStyle w:val="a9"/>
            <w:color w:val="auto"/>
            <w:sz w:val="28"/>
            <w:szCs w:val="28"/>
          </w:rPr>
          <w:t>Loewenstein 2004</w:t>
        </w:r>
      </w:hyperlink>
      <w:r w:rsidRPr="004F5888">
        <w:rPr>
          <w:sz w:val="28"/>
          <w:szCs w:val="28"/>
        </w:rPr>
        <w:t>) или других (</w:t>
      </w:r>
      <w:proofErr w:type="spellStart"/>
      <w:r w:rsidR="0093135B">
        <w:fldChar w:fldCharType="begin"/>
      </w:r>
      <w:r w:rsidR="0093135B">
        <w:instrText xml:space="preserve"> HYPERLINK "https://www.cochranelibrary.com/cdsr/doi/10.1002/14651858.CD003260.pub2/references" \l "CD003260-bbs2-0062" </w:instrText>
      </w:r>
      <w:r w:rsidR="0093135B">
        <w:fldChar w:fldCharType="separate"/>
      </w:r>
      <w:r w:rsidRPr="004F5888">
        <w:rPr>
          <w:rStyle w:val="a9"/>
          <w:color w:val="auto"/>
          <w:sz w:val="28"/>
          <w:szCs w:val="28"/>
        </w:rPr>
        <w:t>Yesavage</w:t>
      </w:r>
      <w:proofErr w:type="spellEnd"/>
      <w:r w:rsidRPr="004F5888">
        <w:rPr>
          <w:rStyle w:val="a9"/>
          <w:color w:val="auto"/>
          <w:sz w:val="28"/>
          <w:szCs w:val="28"/>
        </w:rPr>
        <w:t xml:space="preserve"> 1981</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"https://www.cochranelibrary.com/cdsr/doi/10.1002/1</w:instrText>
      </w:r>
      <w:r w:rsidR="00667E06">
        <w:instrText xml:space="preserve">4651858.CD003260.pub2/references" \l "CD003260-bbs2-0007" </w:instrText>
      </w:r>
      <w:r w:rsidR="00667E06">
        <w:fldChar w:fldCharType="separate"/>
      </w:r>
      <w:r w:rsidRPr="004F5888">
        <w:rPr>
          <w:rStyle w:val="a9"/>
          <w:color w:val="auto"/>
          <w:sz w:val="28"/>
          <w:szCs w:val="28"/>
        </w:rPr>
        <w:t>Heiss</w:t>
      </w:r>
      <w:proofErr w:type="spellEnd"/>
      <w:r w:rsidRPr="004F5888">
        <w:rPr>
          <w:rStyle w:val="a9"/>
          <w:color w:val="auto"/>
          <w:sz w:val="28"/>
          <w:szCs w:val="28"/>
        </w:rPr>
        <w:t xml:space="preserve"> 1993</w:t>
      </w:r>
      <w:r w:rsidR="00667E06">
        <w:rPr>
          <w:rStyle w:val="a9"/>
          <w:color w:val="auto"/>
          <w:sz w:val="28"/>
          <w:szCs w:val="28"/>
        </w:rPr>
        <w:fldChar w:fldCharType="end"/>
      </w:r>
      <w:r w:rsidRPr="004F5888">
        <w:rPr>
          <w:sz w:val="28"/>
          <w:szCs w:val="28"/>
        </w:rPr>
        <w:t>) применение лекарств. Кроме того, когнитивная подготовка для лиц с деменцией иногда включалась в качестве компонента вспомогательных мероприятий для лиц, осуществляющих уход (</w:t>
      </w:r>
      <w:proofErr w:type="spellStart"/>
      <w:r w:rsidR="0093135B">
        <w:fldChar w:fldCharType="begin"/>
      </w:r>
      <w:r w:rsidR="0093135B">
        <w:instrText xml:space="preserve"> HYPERLINK "https://www.cochranelibrary.com/cdsr/doi/10.1002/14651858.CD003260.pub2/references" \l "CD003260-bbs2-0021" </w:instrText>
      </w:r>
      <w:r w:rsidR="0093135B">
        <w:fldChar w:fldCharType="separate"/>
      </w:r>
      <w:r w:rsidRPr="004F5888">
        <w:rPr>
          <w:rStyle w:val="a9"/>
          <w:color w:val="auto"/>
          <w:sz w:val="28"/>
          <w:szCs w:val="28"/>
        </w:rPr>
        <w:t>Brodaty</w:t>
      </w:r>
      <w:proofErr w:type="spellEnd"/>
      <w:r w:rsidRPr="004F5888">
        <w:rPr>
          <w:rStyle w:val="a9"/>
          <w:color w:val="auto"/>
          <w:sz w:val="28"/>
          <w:szCs w:val="28"/>
        </w:rPr>
        <w:t xml:space="preserve"> 1989</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"https://www.cochranelibrary.com/cdsr/doi/10.1002/14651858.CD003260.pub2/references" \l "CD003260-bbs2-0022" </w:instrText>
      </w:r>
      <w:r w:rsidR="00667E06">
        <w:fldChar w:fldCharType="separate"/>
      </w:r>
      <w:r w:rsidRPr="004F5888">
        <w:rPr>
          <w:rStyle w:val="a9"/>
          <w:color w:val="auto"/>
          <w:sz w:val="28"/>
          <w:szCs w:val="28"/>
        </w:rPr>
        <w:t>Brodaty</w:t>
      </w:r>
      <w:proofErr w:type="spellEnd"/>
      <w:r w:rsidRPr="004F5888">
        <w:rPr>
          <w:rStyle w:val="a9"/>
          <w:color w:val="auto"/>
          <w:sz w:val="28"/>
          <w:szCs w:val="28"/>
        </w:rPr>
        <w:t xml:space="preserve"> 1997</w:t>
      </w:r>
      <w:r w:rsidR="00667E06">
        <w:rPr>
          <w:rStyle w:val="a9"/>
          <w:color w:val="auto"/>
          <w:sz w:val="28"/>
          <w:szCs w:val="28"/>
        </w:rPr>
        <w:fldChar w:fldCharType="end"/>
      </w:r>
      <w:r w:rsidRPr="004F5888">
        <w:rPr>
          <w:sz w:val="28"/>
          <w:szCs w:val="28"/>
        </w:rPr>
        <w:t>).</w:t>
      </w:r>
    </w:p>
    <w:p w14:paraId="5E11B56A" w14:textId="77777777" w:rsidR="009E2E90" w:rsidRPr="004F5888" w:rsidRDefault="009E2E90" w:rsidP="004F5888">
      <w:pPr>
        <w:pStyle w:val="4"/>
        <w:spacing w:line="240" w:lineRule="auto"/>
        <w:jc w:val="both"/>
        <w:rPr>
          <w:rFonts w:ascii="Times New Roman" w:hAnsi="Times New Roman" w:cs="Times New Roman"/>
          <w:color w:val="auto"/>
          <w:sz w:val="28"/>
          <w:szCs w:val="28"/>
        </w:rPr>
      </w:pPr>
      <w:r w:rsidRPr="004F5888">
        <w:rPr>
          <w:rFonts w:ascii="Times New Roman" w:hAnsi="Times New Roman" w:cs="Times New Roman"/>
          <w:color w:val="auto"/>
          <w:sz w:val="28"/>
          <w:szCs w:val="28"/>
        </w:rPr>
        <w:t>Когнитивная реабилитация</w:t>
      </w:r>
    </w:p>
    <w:p w14:paraId="68699DB7" w14:textId="77777777" w:rsidR="009E2E90" w:rsidRPr="004F5888" w:rsidRDefault="009E2E90" w:rsidP="004F5888">
      <w:pPr>
        <w:pStyle w:val="aa"/>
        <w:spacing w:before="0" w:beforeAutospacing="0" w:after="0" w:afterAutospacing="0"/>
        <w:jc w:val="both"/>
        <w:rPr>
          <w:sz w:val="28"/>
          <w:szCs w:val="28"/>
        </w:rPr>
      </w:pPr>
      <w:r w:rsidRPr="004F5888">
        <w:rPr>
          <w:sz w:val="28"/>
          <w:szCs w:val="28"/>
        </w:rPr>
        <w:t>Исторически реабилитация рассматривалась как процесс, направленный на то, чтобы помочь людям достичь или поддерживать "оптимальный уровень физического, психологического и социального функционирования" в контексте конкретных нарушений, возникающих в результате болезни или травмы (</w:t>
      </w:r>
      <w:hyperlink r:id="rId35" w:anchor="CD003260-bbs2-0115" w:history="1">
        <w:r w:rsidRPr="004F5888">
          <w:rPr>
            <w:rStyle w:val="a9"/>
            <w:color w:val="auto"/>
            <w:sz w:val="28"/>
            <w:szCs w:val="28"/>
          </w:rPr>
          <w:t>McLellan 1991</w:t>
        </w:r>
      </w:hyperlink>
      <w:r w:rsidRPr="004F5888">
        <w:rPr>
          <w:sz w:val="28"/>
          <w:szCs w:val="28"/>
        </w:rPr>
        <w:t>), тем самым облегчая участие в предпочтительных видах деятельности и ценных социальных ролях (</w:t>
      </w:r>
      <w:hyperlink r:id="rId36" w:anchor="CD003260-bbs2-0135" w:history="1">
        <w:r w:rsidRPr="004F5888">
          <w:rPr>
            <w:rStyle w:val="a9"/>
            <w:color w:val="auto"/>
            <w:sz w:val="28"/>
            <w:szCs w:val="28"/>
          </w:rPr>
          <w:t>WHO 2001</w:t>
        </w:r>
      </w:hyperlink>
      <w:r w:rsidRPr="004F5888">
        <w:rPr>
          <w:sz w:val="28"/>
          <w:szCs w:val="28"/>
        </w:rPr>
        <w:t xml:space="preserve">). Более поздние взгляды на реабилитацию включают более глубокое понимание сложной взаимосвязи между болезнью и способностью функционировать: инвалидность может сохраняться даже после того, как болезнь, вызвавшая ее, была устранена, и в равной степени инвалидность может быть уменьшена перед лицом постоянной травмы или даже хронического заболевания </w:t>
      </w:r>
      <w:r w:rsidRPr="004F5888">
        <w:rPr>
          <w:sz w:val="28"/>
          <w:szCs w:val="28"/>
        </w:rPr>
        <w:lastRenderedPageBreak/>
        <w:t>(</w:t>
      </w:r>
      <w:hyperlink r:id="rId37" w:anchor="CD003260-bbs2-0103" w:history="1">
        <w:r w:rsidRPr="004F5888">
          <w:rPr>
            <w:rStyle w:val="a9"/>
            <w:color w:val="auto"/>
            <w:sz w:val="28"/>
            <w:szCs w:val="28"/>
          </w:rPr>
          <w:t xml:space="preserve">Institute </w:t>
        </w:r>
        <w:proofErr w:type="spellStart"/>
        <w:r w:rsidRPr="004F5888">
          <w:rPr>
            <w:rStyle w:val="a9"/>
            <w:color w:val="auto"/>
            <w:sz w:val="28"/>
            <w:szCs w:val="28"/>
          </w:rPr>
          <w:t>of</w:t>
        </w:r>
        <w:proofErr w:type="spellEnd"/>
        <w:r w:rsidRPr="004F5888">
          <w:rPr>
            <w:rStyle w:val="a9"/>
            <w:color w:val="auto"/>
            <w:sz w:val="28"/>
            <w:szCs w:val="28"/>
          </w:rPr>
          <w:t xml:space="preserve"> </w:t>
        </w:r>
        <w:proofErr w:type="spellStart"/>
        <w:r w:rsidRPr="004F5888">
          <w:rPr>
            <w:rStyle w:val="a9"/>
            <w:color w:val="auto"/>
            <w:sz w:val="28"/>
            <w:szCs w:val="28"/>
          </w:rPr>
          <w:t>Medicine</w:t>
        </w:r>
        <w:proofErr w:type="spellEnd"/>
        <w:r w:rsidRPr="004F5888">
          <w:rPr>
            <w:rStyle w:val="a9"/>
            <w:color w:val="auto"/>
            <w:sz w:val="28"/>
            <w:szCs w:val="28"/>
          </w:rPr>
          <w:t xml:space="preserve"> 2011</w:t>
        </w:r>
      </w:hyperlink>
      <w:r w:rsidRPr="004F5888">
        <w:rPr>
          <w:sz w:val="28"/>
          <w:szCs w:val="28"/>
        </w:rPr>
        <w:t>). Когнитивная реабилитация, первоначально разработанная в основном путем работы с более молодыми людьми с повреждениями головного мозга, но одинаково применимая к прогрессирующим состояниям, относится к реабилитации людей с когнитивными нарушениями. Хотя концепция продолжает развиваться, когнитивная реабилитация обычно относится к индивидуальному подходу к оказанию помощи людям с когнитивными нарушениями, при котором пострадавшие и их семьи работают вместе с медицинскими работниками над определением личностно значимых целей и разработкой стратегий их решения (</w:t>
      </w:r>
      <w:proofErr w:type="spellStart"/>
      <w:r w:rsidR="0093135B">
        <w:fldChar w:fldCharType="begin"/>
      </w:r>
      <w:r w:rsidR="0093135B">
        <w:instrText xml:space="preserve"> HYPERLINK "https://www.cochranelibrary.com/cdsr/doi/10.1002/14651858.CD003260.pub2/references" \l "CD003260-bbs2-0136" </w:instrText>
      </w:r>
      <w:r w:rsidR="0093135B">
        <w:fldChar w:fldCharType="separate"/>
      </w:r>
      <w:r w:rsidRPr="004F5888">
        <w:rPr>
          <w:rStyle w:val="a9"/>
          <w:color w:val="auto"/>
          <w:sz w:val="28"/>
          <w:szCs w:val="28"/>
        </w:rPr>
        <w:t>Wilson</w:t>
      </w:r>
      <w:proofErr w:type="spellEnd"/>
      <w:r w:rsidRPr="004F5888">
        <w:rPr>
          <w:rStyle w:val="a9"/>
          <w:color w:val="auto"/>
          <w:sz w:val="28"/>
          <w:szCs w:val="28"/>
        </w:rPr>
        <w:t xml:space="preserve"> 2002</w:t>
      </w:r>
      <w:r w:rsidR="0093135B">
        <w:rPr>
          <w:rStyle w:val="a9"/>
          <w:color w:val="auto"/>
          <w:sz w:val="28"/>
          <w:szCs w:val="28"/>
        </w:rPr>
        <w:fldChar w:fldCharType="end"/>
      </w:r>
      <w:r w:rsidRPr="004F5888">
        <w:rPr>
          <w:sz w:val="28"/>
          <w:szCs w:val="28"/>
        </w:rPr>
        <w:t>). Акцент делается не на повышении эффективности выполнения когнитивных задач как таковых, а на улучшении функционирования в повседневном контексте. Мероприятия по когнитивной реабилитации направлены непосредственно на преодоление тех трудностей, которые человек с деменцией считает наиболее релевантными для себя и членов своей семьи или сторонников, а также на решение повседневных ситуаций в контексте реальной жизни. Подходы к когнитивной реабилитации, как правило, реализуются в реальных условиях, поскольку не существует имплицитного предположения, что изменения, происходящие в одной среде, обязательно распространятся на другую. Цели для вмешательства выбираются совместно, и вмешательство обычно осуществляется на индивидуальной основе.</w:t>
      </w:r>
    </w:p>
    <w:p w14:paraId="36D45923" w14:textId="77777777" w:rsidR="009E2E90" w:rsidRPr="004F5888" w:rsidRDefault="009E2E90" w:rsidP="004F5888">
      <w:pPr>
        <w:pStyle w:val="aa"/>
        <w:spacing w:before="0" w:beforeAutospacing="0" w:after="0" w:afterAutospacing="0"/>
        <w:jc w:val="both"/>
        <w:rPr>
          <w:sz w:val="28"/>
          <w:szCs w:val="28"/>
        </w:rPr>
      </w:pPr>
      <w:r w:rsidRPr="004F5888">
        <w:rPr>
          <w:sz w:val="28"/>
          <w:szCs w:val="28"/>
        </w:rPr>
        <w:t>Как когнитивная тренировка, так и когнитивная реабилитация могут сопровождаться (1) психолого-педагогическими мероприятиями, направленными на облегчение понимания когнитивных сильных сторон и трудностей, и (2) поддерживающими дискуссиями, связанными с индивидуальными эмоциональными реакциями или другими потребностями; при необходимости могут быть установлены связи с другими возможными источниками поддержки. В таблице 1 обобщены основные различия между признаками когнитивного тренинга и когнитивной реабилитации.</w:t>
      </w:r>
    </w:p>
    <w:p w14:paraId="0B6C5D86" w14:textId="77777777" w:rsidR="009E2E90" w:rsidRPr="004F5888" w:rsidRDefault="009E2E90" w:rsidP="004F5888">
      <w:pPr>
        <w:pStyle w:val="3"/>
        <w:shd w:val="clear" w:color="auto" w:fill="FFFFFF"/>
        <w:spacing w:line="240" w:lineRule="auto"/>
        <w:jc w:val="both"/>
        <w:rPr>
          <w:rFonts w:ascii="Times New Roman" w:hAnsi="Times New Roman" w:cs="Times New Roman"/>
          <w:color w:val="auto"/>
          <w:sz w:val="28"/>
          <w:szCs w:val="28"/>
        </w:rPr>
      </w:pPr>
      <w:r w:rsidRPr="004F5888">
        <w:rPr>
          <w:rFonts w:ascii="Times New Roman" w:hAnsi="Times New Roman" w:cs="Times New Roman"/>
          <w:color w:val="auto"/>
          <w:sz w:val="28"/>
          <w:szCs w:val="28"/>
        </w:rPr>
        <w:t>Как это вмешательство может сработать</w:t>
      </w:r>
    </w:p>
    <w:p w14:paraId="574C8DEF" w14:textId="77777777" w:rsidR="009E2E90" w:rsidRPr="004F5888" w:rsidRDefault="009E2E90" w:rsidP="004F5888">
      <w:pPr>
        <w:pStyle w:val="aa"/>
        <w:shd w:val="clear" w:color="auto" w:fill="FFFFFF"/>
        <w:spacing w:before="0" w:beforeAutospacing="0" w:after="0" w:afterAutospacing="0"/>
        <w:jc w:val="both"/>
        <w:rPr>
          <w:sz w:val="28"/>
          <w:szCs w:val="28"/>
        </w:rPr>
      </w:pPr>
      <w:r w:rsidRPr="004F5888">
        <w:rPr>
          <w:sz w:val="28"/>
          <w:szCs w:val="28"/>
        </w:rPr>
        <w:t>Когнитивные вмешательства для лиц с приобретенными нарушениями центральной нервной системы (включая черепно‐мозговую травму, инсульт и нейродегенеративные состояния) основаны на знании взаимосвязей между мозгом и поведением и механизмов травмы, болезни и восстановления. Исторически такие вмешательства отражали две широкие концептуальные основы восстановления функций после заболеваний или травм головного мозга: традиционный или восстановительный подход и контекстуальный или компенсаторный подход (</w:t>
      </w:r>
      <w:proofErr w:type="spellStart"/>
      <w:r w:rsidR="0093135B">
        <w:fldChar w:fldCharType="begin"/>
      </w:r>
      <w:r w:rsidR="0093135B">
        <w:instrText xml:space="preserve"> HYPERLINK "https://www.cochranelibrary.com/cdsr/doi/10.1002/14651858.CD003260.pub2/references" \l "CD003260-bbs2-0139" </w:instrText>
      </w:r>
      <w:r w:rsidR="0093135B">
        <w:fldChar w:fldCharType="separate"/>
      </w:r>
      <w:r w:rsidRPr="004F5888">
        <w:rPr>
          <w:rStyle w:val="a9"/>
          <w:color w:val="auto"/>
          <w:sz w:val="28"/>
          <w:szCs w:val="28"/>
        </w:rPr>
        <w:t>Ylvisaker</w:t>
      </w:r>
      <w:proofErr w:type="spellEnd"/>
      <w:r w:rsidRPr="004F5888">
        <w:rPr>
          <w:rStyle w:val="a9"/>
          <w:color w:val="auto"/>
          <w:sz w:val="28"/>
          <w:szCs w:val="28"/>
        </w:rPr>
        <w:t xml:space="preserve"> 2002</w:t>
      </w:r>
      <w:r w:rsidR="0093135B">
        <w:rPr>
          <w:rStyle w:val="a9"/>
          <w:color w:val="auto"/>
          <w:sz w:val="28"/>
          <w:szCs w:val="28"/>
        </w:rPr>
        <w:fldChar w:fldCharType="end"/>
      </w:r>
      <w:r w:rsidRPr="004F5888">
        <w:rPr>
          <w:sz w:val="28"/>
          <w:szCs w:val="28"/>
        </w:rPr>
        <w:t>). Методы, обычно связанные с когнитивной тренировкой, такие как повторное выполнение стандартизированных когнитивных тестов возрастающей сложности, нацеленных на определенные когнитивные области, как правило , отражают восстановительные принципы и “процветают на приманке нейропластичности” (</w:t>
      </w:r>
      <w:proofErr w:type="spellStart"/>
      <w:r w:rsidR="0093135B">
        <w:fldChar w:fldCharType="begin"/>
      </w:r>
      <w:r w:rsidR="0093135B">
        <w:instrText xml:space="preserve"> HYPERLINK "https://www.cochranelibrary.com/cdsr/doi/10.1002/14651858.CD003260.pub2/references" \l "CD003260-bbs2-0125" </w:instrText>
      </w:r>
      <w:r w:rsidR="0093135B">
        <w:fldChar w:fldCharType="separate"/>
      </w:r>
      <w:r w:rsidRPr="004F5888">
        <w:rPr>
          <w:rStyle w:val="a9"/>
          <w:color w:val="auto"/>
          <w:sz w:val="28"/>
          <w:szCs w:val="28"/>
        </w:rPr>
        <w:t>Rabipour</w:t>
      </w:r>
      <w:proofErr w:type="spellEnd"/>
      <w:r w:rsidRPr="004F5888">
        <w:rPr>
          <w:rStyle w:val="a9"/>
          <w:color w:val="auto"/>
          <w:sz w:val="28"/>
          <w:szCs w:val="28"/>
        </w:rPr>
        <w:t xml:space="preserve"> &amp; </w:t>
      </w:r>
      <w:proofErr w:type="spellStart"/>
      <w:r w:rsidRPr="004F5888">
        <w:rPr>
          <w:rStyle w:val="a9"/>
          <w:color w:val="auto"/>
          <w:sz w:val="28"/>
          <w:szCs w:val="28"/>
        </w:rPr>
        <w:t>Raz</w:t>
      </w:r>
      <w:proofErr w:type="spellEnd"/>
      <w:r w:rsidRPr="004F5888">
        <w:rPr>
          <w:rStyle w:val="a9"/>
          <w:color w:val="auto"/>
          <w:sz w:val="28"/>
          <w:szCs w:val="28"/>
        </w:rPr>
        <w:t xml:space="preserve"> 2012</w:t>
      </w:r>
      <w:r w:rsidR="0093135B">
        <w:rPr>
          <w:rStyle w:val="a9"/>
          <w:color w:val="auto"/>
          <w:sz w:val="28"/>
          <w:szCs w:val="28"/>
        </w:rPr>
        <w:fldChar w:fldCharType="end"/>
      </w:r>
      <w:r w:rsidRPr="004F5888">
        <w:rPr>
          <w:sz w:val="28"/>
          <w:szCs w:val="28"/>
        </w:rPr>
        <w:t>, p. 2). Доказательством этого является недавнее исследование функциональной магнитно-резонансной томографии (фМРТ), в котором сообщалось о повышенной активации мозга, связанной с памятью, после когнитивной тренировки в нескольких областях мозга людей с высоким риском деменции из-за умеренных когнитивных нарушений (</w:t>
      </w:r>
      <w:proofErr w:type="spellStart"/>
      <w:r w:rsidR="0093135B">
        <w:fldChar w:fldCharType="begin"/>
      </w:r>
      <w:r w:rsidR="0093135B">
        <w:instrText xml:space="preserve"> HYPERLINK "https://www.cochranelibrary.com/cdsr/doi/10.1002/14651858.CD003260.pub2/references" \l "CD003260-bbs2-0073" </w:instrText>
      </w:r>
      <w:r w:rsidR="0093135B">
        <w:fldChar w:fldCharType="separate"/>
      </w:r>
      <w:r w:rsidRPr="004F5888">
        <w:rPr>
          <w:rStyle w:val="a9"/>
          <w:color w:val="auto"/>
          <w:sz w:val="28"/>
          <w:szCs w:val="28"/>
        </w:rPr>
        <w:t>Belleville</w:t>
      </w:r>
      <w:proofErr w:type="spellEnd"/>
      <w:r w:rsidRPr="004F5888">
        <w:rPr>
          <w:rStyle w:val="a9"/>
          <w:color w:val="auto"/>
          <w:sz w:val="28"/>
          <w:szCs w:val="28"/>
        </w:rPr>
        <w:t xml:space="preserve"> 2011</w:t>
      </w:r>
      <w:r w:rsidR="0093135B">
        <w:rPr>
          <w:rStyle w:val="a9"/>
          <w:color w:val="auto"/>
          <w:sz w:val="28"/>
          <w:szCs w:val="28"/>
        </w:rPr>
        <w:fldChar w:fldCharType="end"/>
      </w:r>
      <w:r w:rsidRPr="004F5888">
        <w:rPr>
          <w:sz w:val="28"/>
          <w:szCs w:val="28"/>
        </w:rPr>
        <w:t xml:space="preserve">). Такая повышенная активация мозга может быть результатом процессов синаптического роста и восстановления, вызванных повторной практикой стандартизированных </w:t>
      </w:r>
      <w:r w:rsidRPr="004F5888">
        <w:rPr>
          <w:sz w:val="28"/>
          <w:szCs w:val="28"/>
        </w:rPr>
        <w:lastRenderedPageBreak/>
        <w:t>тестов. С другой стороны, методы, обычно связанные с когнитивной реабилитацией, такие как оптимизация остаточных когнитивных способностей в нарушенных областях и максимально эффективное использование неповрежденных когнитивных способностей, больше подходят для компенсаторных подходов. Например, в отношении памяти и обучения хорошо известно, что процессы кодирования и консолидации памяти, а также подсистемы декларативной памяти имеют тенденцию к глубокому нарушению даже на более мягких стадиях БА (</w:t>
      </w:r>
      <w:proofErr w:type="spellStart"/>
      <w:r w:rsidR="0093135B">
        <w:fldChar w:fldCharType="begin"/>
      </w:r>
      <w:r w:rsidR="0093135B">
        <w:instrText xml:space="preserve"> HYPERLINK "https://www.cochranelibrary.com/cdsr/doi/10.1002/14651858.CD003260.pub2/references" \l "CD003260-bbs2-0084" </w:instrText>
      </w:r>
      <w:r w:rsidR="0093135B">
        <w:fldChar w:fldCharType="separate"/>
      </w:r>
      <w:r w:rsidRPr="004F5888">
        <w:rPr>
          <w:rStyle w:val="a9"/>
          <w:color w:val="auto"/>
          <w:sz w:val="28"/>
          <w:szCs w:val="28"/>
        </w:rPr>
        <w:t>Christensen</w:t>
      </w:r>
      <w:proofErr w:type="spellEnd"/>
      <w:r w:rsidRPr="004F5888">
        <w:rPr>
          <w:rStyle w:val="a9"/>
          <w:color w:val="auto"/>
          <w:sz w:val="28"/>
          <w:szCs w:val="28"/>
        </w:rPr>
        <w:t xml:space="preserve"> 1998</w:t>
      </w:r>
      <w:r w:rsidR="0093135B">
        <w:rPr>
          <w:rStyle w:val="a9"/>
          <w:color w:val="auto"/>
          <w:sz w:val="28"/>
          <w:szCs w:val="28"/>
        </w:rPr>
        <w:fldChar w:fldCharType="end"/>
      </w:r>
      <w:r w:rsidRPr="004F5888">
        <w:rPr>
          <w:sz w:val="28"/>
          <w:szCs w:val="28"/>
        </w:rPr>
        <w:t>). Тем не менее, исследования показали, что при наличии соответствующих условий и поддержки, а также достаточного времени люди с деменцией могут сохранять способность к обучению и могут удерживать некоторую информацию и навыки, несмотря на свои трудности с памятью (</w:t>
      </w:r>
      <w:proofErr w:type="spellStart"/>
      <w:r w:rsidR="0093135B">
        <w:fldChar w:fldCharType="begin"/>
      </w:r>
      <w:r w:rsidR="0093135B">
        <w:instrText xml:space="preserve"> HYPERLINK "https://www.cochranelibrary.com/cdsr/doi/10.1002/14651858.CD003260.pub2/references" \l "CD003260-bbs2-0080" </w:instrText>
      </w:r>
      <w:r w:rsidR="0093135B">
        <w:fldChar w:fldCharType="separate"/>
      </w:r>
      <w:r w:rsidRPr="004F5888">
        <w:rPr>
          <w:rStyle w:val="a9"/>
          <w:color w:val="auto"/>
          <w:sz w:val="28"/>
          <w:szCs w:val="28"/>
        </w:rPr>
        <w:t>Bäckman</w:t>
      </w:r>
      <w:proofErr w:type="spellEnd"/>
      <w:r w:rsidRPr="004F5888">
        <w:rPr>
          <w:rStyle w:val="a9"/>
          <w:color w:val="auto"/>
          <w:sz w:val="28"/>
          <w:szCs w:val="28"/>
        </w:rPr>
        <w:t xml:space="preserve"> 1992</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"https://www.cochranelibrary.com/cdsr/doi/10.1002/14651858.CD003260.pub2/references" \l "CD003260-bbs2-0081" </w:instrText>
      </w:r>
      <w:r w:rsidR="00667E06">
        <w:fldChar w:fldCharType="separate"/>
      </w:r>
      <w:r w:rsidRPr="004F5888">
        <w:rPr>
          <w:rStyle w:val="a9"/>
          <w:color w:val="auto"/>
          <w:sz w:val="28"/>
          <w:szCs w:val="28"/>
        </w:rPr>
        <w:t>Bäckman</w:t>
      </w:r>
      <w:proofErr w:type="spellEnd"/>
      <w:r w:rsidRPr="004F5888">
        <w:rPr>
          <w:rStyle w:val="a9"/>
          <w:color w:val="auto"/>
          <w:sz w:val="28"/>
          <w:szCs w:val="28"/>
        </w:rPr>
        <w:t xml:space="preserve"> 1996</w:t>
      </w:r>
      <w:r w:rsidR="00667E06">
        <w:rPr>
          <w:rStyle w:val="a9"/>
          <w:color w:val="auto"/>
          <w:sz w:val="28"/>
          <w:szCs w:val="28"/>
        </w:rPr>
        <w:fldChar w:fldCharType="end"/>
      </w:r>
      <w:r w:rsidRPr="004F5888">
        <w:rPr>
          <w:sz w:val="28"/>
          <w:szCs w:val="28"/>
        </w:rPr>
        <w:t>; </w:t>
      </w:r>
      <w:hyperlink r:id="rId38" w:anchor="CD003260-bbs2-0108" w:history="1">
        <w:r w:rsidRPr="004F5888">
          <w:rPr>
            <w:rStyle w:val="a9"/>
            <w:color w:val="auto"/>
            <w:sz w:val="28"/>
            <w:szCs w:val="28"/>
          </w:rPr>
          <w:t>Kopelman 1985</w:t>
        </w:r>
      </w:hyperlink>
      <w:r w:rsidRPr="004F5888">
        <w:rPr>
          <w:sz w:val="28"/>
          <w:szCs w:val="28"/>
        </w:rPr>
        <w:t>; </w:t>
      </w:r>
      <w:hyperlink r:id="rId39" w:anchor="CD003260-bbs2-0110" w:history="1">
        <w:r w:rsidRPr="004F5888">
          <w:rPr>
            <w:rStyle w:val="a9"/>
            <w:color w:val="auto"/>
            <w:sz w:val="28"/>
            <w:szCs w:val="28"/>
          </w:rPr>
          <w:t>Little 1986</w:t>
        </w:r>
      </w:hyperlink>
      <w:r w:rsidRPr="004F5888">
        <w:rPr>
          <w:sz w:val="28"/>
          <w:szCs w:val="28"/>
        </w:rPr>
        <w:t>). Когнитивной реабилитации основной упор делается на оказании помощи людям с деменцией и их семьям максимально остаточная память способность, например, путем выявления наилучших способов принятия в важная информация (</w:t>
      </w:r>
      <w:hyperlink r:id="rId40" w:anchor="CD003260-bbs2-0079" w:history="1">
        <w:r w:rsidRPr="004F5888">
          <w:rPr>
            <w:rStyle w:val="a9"/>
            <w:color w:val="auto"/>
            <w:sz w:val="28"/>
            <w:szCs w:val="28"/>
          </w:rPr>
          <w:t>Бекман 1991</w:t>
        </w:r>
      </w:hyperlink>
      <w:r w:rsidRPr="004F5888">
        <w:rPr>
          <w:sz w:val="28"/>
          <w:szCs w:val="28"/>
        </w:rPr>
        <w:t>; </w:t>
      </w:r>
      <w:hyperlink r:id="rId41" w:anchor="CD003260-bbs2-0082" w:history="1">
        <w:r w:rsidRPr="004F5888">
          <w:rPr>
            <w:rStyle w:val="a9"/>
            <w:color w:val="auto"/>
            <w:sz w:val="28"/>
            <w:szCs w:val="28"/>
          </w:rPr>
          <w:t>лагерь, 1989</w:t>
        </w:r>
      </w:hyperlink>
      <w:r w:rsidRPr="004F5888">
        <w:rPr>
          <w:sz w:val="28"/>
          <w:szCs w:val="28"/>
        </w:rPr>
        <w:t>; </w:t>
      </w:r>
      <w:hyperlink r:id="rId42" w:anchor="CD003260-bbs2-0083" w:history="1">
        <w:r w:rsidRPr="004F5888">
          <w:rPr>
            <w:rStyle w:val="a9"/>
            <w:color w:val="auto"/>
            <w:sz w:val="28"/>
            <w:szCs w:val="28"/>
          </w:rPr>
          <w:t>Стан 2000</w:t>
        </w:r>
      </w:hyperlink>
      <w:r w:rsidRPr="004F5888">
        <w:rPr>
          <w:sz w:val="28"/>
          <w:szCs w:val="28"/>
        </w:rPr>
        <w:t>; </w:t>
      </w:r>
      <w:hyperlink r:id="rId43" w:anchor="CD003260-bbs2-0085" w:history="1">
        <w:r w:rsidRPr="004F5888">
          <w:rPr>
            <w:rStyle w:val="a9"/>
            <w:color w:val="auto"/>
            <w:sz w:val="28"/>
            <w:szCs w:val="28"/>
          </w:rPr>
          <w:t>Клэр 1999</w:t>
        </w:r>
      </w:hyperlink>
      <w:r w:rsidRPr="004F5888">
        <w:rPr>
          <w:sz w:val="28"/>
          <w:szCs w:val="28"/>
        </w:rPr>
        <w:t>; </w:t>
      </w:r>
      <w:hyperlink r:id="rId44" w:anchor="CD003260-bbs2-0086" w:history="1">
        <w:r w:rsidRPr="004F5888">
          <w:rPr>
            <w:rStyle w:val="a9"/>
            <w:color w:val="auto"/>
            <w:sz w:val="28"/>
            <w:szCs w:val="28"/>
          </w:rPr>
          <w:t>Клэр 2000</w:t>
        </w:r>
      </w:hyperlink>
      <w:r w:rsidRPr="004F5888">
        <w:rPr>
          <w:sz w:val="28"/>
          <w:szCs w:val="28"/>
        </w:rPr>
        <w:t>; </w:t>
      </w:r>
      <w:hyperlink r:id="rId45" w:anchor="CD003260-bbs2-0087" w:history="1">
        <w:r w:rsidRPr="004F5888">
          <w:rPr>
            <w:rStyle w:val="a9"/>
            <w:color w:val="auto"/>
            <w:sz w:val="28"/>
            <w:szCs w:val="28"/>
          </w:rPr>
          <w:t>Клэр 2001</w:t>
        </w:r>
      </w:hyperlink>
      <w:r w:rsidRPr="004F5888">
        <w:rPr>
          <w:sz w:val="28"/>
          <w:szCs w:val="28"/>
        </w:rPr>
        <w:t>; </w:t>
      </w:r>
      <w:hyperlink r:id="rId46" w:anchor="CD003260-bbs2-0100" w:history="1">
        <w:r w:rsidRPr="004F5888">
          <w:rPr>
            <w:rStyle w:val="a9"/>
            <w:color w:val="auto"/>
            <w:sz w:val="28"/>
            <w:szCs w:val="28"/>
          </w:rPr>
          <w:t>Хилл 1987</w:t>
        </w:r>
      </w:hyperlink>
      <w:r w:rsidRPr="004F5888">
        <w:rPr>
          <w:sz w:val="28"/>
          <w:szCs w:val="28"/>
        </w:rPr>
        <w:t>; </w:t>
      </w:r>
      <w:hyperlink r:id="rId47" w:anchor="CD003260-bbs2-0025" w:history="1">
        <w:r w:rsidRPr="004F5888">
          <w:rPr>
            <w:rStyle w:val="a9"/>
            <w:color w:val="auto"/>
            <w:sz w:val="28"/>
            <w:szCs w:val="28"/>
          </w:rPr>
          <w:t>Клэр 2002</w:t>
        </w:r>
      </w:hyperlink>
      <w:r w:rsidRPr="004F5888">
        <w:rPr>
          <w:sz w:val="28"/>
          <w:szCs w:val="28"/>
        </w:rPr>
        <w:t>; </w:t>
      </w:r>
      <w:hyperlink r:id="rId48" w:anchor="CD003260-bbs2-0013" w:history="1">
        <w:r w:rsidRPr="004F5888">
          <w:rPr>
            <w:rStyle w:val="a9"/>
            <w:color w:val="auto"/>
            <w:sz w:val="28"/>
            <w:szCs w:val="28"/>
          </w:rPr>
          <w:t>Андерсон, 2001</w:t>
        </w:r>
      </w:hyperlink>
      <w:r w:rsidRPr="004F5888">
        <w:rPr>
          <w:sz w:val="28"/>
          <w:szCs w:val="28"/>
        </w:rPr>
        <w:t>) или путем проведения важны в реальной жизни практические навыки (</w:t>
      </w:r>
      <w:proofErr w:type="spellStart"/>
      <w:r w:rsidR="0093135B">
        <w:fldChar w:fldCharType="begin"/>
      </w:r>
      <w:r w:rsidR="0093135B">
        <w:instrText xml:space="preserve"> HYPERLINK "https://www.cochranelibrary.com/cdsr/doi/10.1002/14651858.CD003260.pub2/references" \l "CD003260-bbs2-0106" </w:instrText>
      </w:r>
      <w:r w:rsidR="0093135B">
        <w:fldChar w:fldCharType="separate"/>
      </w:r>
      <w:r w:rsidRPr="004F5888">
        <w:rPr>
          <w:rStyle w:val="a9"/>
          <w:color w:val="auto"/>
          <w:sz w:val="28"/>
          <w:szCs w:val="28"/>
        </w:rPr>
        <w:t>Josephsson</w:t>
      </w:r>
      <w:proofErr w:type="spellEnd"/>
      <w:r w:rsidRPr="004F5888">
        <w:rPr>
          <w:rStyle w:val="a9"/>
          <w:color w:val="auto"/>
          <w:sz w:val="28"/>
          <w:szCs w:val="28"/>
        </w:rPr>
        <w:t xml:space="preserve"> 1993</w:t>
      </w:r>
      <w:r w:rsidR="0093135B">
        <w:rPr>
          <w:rStyle w:val="a9"/>
          <w:color w:val="auto"/>
          <w:sz w:val="28"/>
          <w:szCs w:val="28"/>
        </w:rPr>
        <w:fldChar w:fldCharType="end"/>
      </w:r>
      <w:r w:rsidRPr="004F5888">
        <w:rPr>
          <w:sz w:val="28"/>
          <w:szCs w:val="28"/>
        </w:rPr>
        <w:t>). Действительно, было обнаружено, что некоторые принципы и методы обучения (например, безошибочное обучение, дистанционное извлечение) приводят к улучшению показателей обучения и памяти у пациентов с легкой деменцией (</w:t>
      </w:r>
      <w:proofErr w:type="spellStart"/>
      <w:r w:rsidR="0093135B">
        <w:fldChar w:fldCharType="begin"/>
      </w:r>
      <w:r w:rsidR="0093135B">
        <w:instrText xml:space="preserve"> HYPERLINK "https://www.cochranelibrary.com/cdsr/doi/10.1002/14651858.CD003260.pub2/references" \l "CD003260-bbs2-0075" </w:instrText>
      </w:r>
      <w:r w:rsidR="0093135B">
        <w:fldChar w:fldCharType="separate"/>
      </w:r>
      <w:r w:rsidRPr="004F5888">
        <w:rPr>
          <w:rStyle w:val="a9"/>
          <w:color w:val="auto"/>
          <w:sz w:val="28"/>
          <w:szCs w:val="28"/>
        </w:rPr>
        <w:t>Boudreaux</w:t>
      </w:r>
      <w:proofErr w:type="spellEnd"/>
      <w:r w:rsidRPr="004F5888">
        <w:rPr>
          <w:rStyle w:val="a9"/>
          <w:color w:val="auto"/>
          <w:sz w:val="28"/>
          <w:szCs w:val="28"/>
        </w:rPr>
        <w:t xml:space="preserve"> 2011</w:t>
      </w:r>
      <w:r w:rsidR="0093135B">
        <w:rPr>
          <w:rStyle w:val="a9"/>
          <w:color w:val="auto"/>
          <w:sz w:val="28"/>
          <w:szCs w:val="28"/>
        </w:rPr>
        <w:fldChar w:fldCharType="end"/>
      </w:r>
      <w:hyperlink r:id="rId49" w:anchor="CD003260-bbs2-0089" w:history="1">
        <w:r w:rsidRPr="004F5888">
          <w:rPr>
            <w:rStyle w:val="a9"/>
            <w:color w:val="auto"/>
            <w:sz w:val="28"/>
            <w:szCs w:val="28"/>
          </w:rPr>
          <w:t xml:space="preserve">Clare, </w:t>
        </w:r>
        <w:proofErr w:type="spellStart"/>
        <w:r w:rsidRPr="004F5888">
          <w:rPr>
            <w:rStyle w:val="a9"/>
            <w:color w:val="auto"/>
            <w:sz w:val="28"/>
            <w:szCs w:val="28"/>
          </w:rPr>
          <w:t>Wilson</w:t>
        </w:r>
        <w:proofErr w:type="spellEnd"/>
        <w:r w:rsidRPr="004F5888">
          <w:rPr>
            <w:rStyle w:val="a9"/>
            <w:color w:val="auto"/>
            <w:sz w:val="28"/>
            <w:szCs w:val="28"/>
          </w:rPr>
          <w:t xml:space="preserve"> </w:t>
        </w:r>
        <w:proofErr w:type="spellStart"/>
        <w:r w:rsidRPr="004F5888">
          <w:rPr>
            <w:rStyle w:val="a9"/>
            <w:color w:val="auto"/>
            <w:sz w:val="28"/>
            <w:szCs w:val="28"/>
          </w:rPr>
          <w:t>et</w:t>
        </w:r>
        <w:proofErr w:type="spellEnd"/>
        <w:r w:rsidRPr="004F5888">
          <w:rPr>
            <w:rStyle w:val="a9"/>
            <w:color w:val="auto"/>
            <w:sz w:val="28"/>
            <w:szCs w:val="28"/>
          </w:rPr>
          <w:t xml:space="preserve"> </w:t>
        </w:r>
        <w:proofErr w:type="spellStart"/>
        <w:r w:rsidRPr="004F5888">
          <w:rPr>
            <w:rStyle w:val="a9"/>
            <w:color w:val="auto"/>
            <w:sz w:val="28"/>
            <w:szCs w:val="28"/>
          </w:rPr>
          <w:t>al</w:t>
        </w:r>
        <w:proofErr w:type="spellEnd"/>
        <w:r w:rsidRPr="004F5888">
          <w:rPr>
            <w:rStyle w:val="a9"/>
            <w:color w:val="auto"/>
            <w:sz w:val="28"/>
            <w:szCs w:val="28"/>
          </w:rPr>
          <w:t xml:space="preserve"> 2000</w:t>
        </w:r>
      </w:hyperlink>
      <w:r w:rsidRPr="004F5888">
        <w:rPr>
          <w:sz w:val="28"/>
          <w:szCs w:val="28"/>
        </w:rPr>
        <w:t>; </w:t>
      </w:r>
      <w:hyperlink r:id="rId50" w:anchor="CD003260-bbs2-0091" w:history="1">
        <w:r w:rsidRPr="004F5888">
          <w:rPr>
            <w:rStyle w:val="a9"/>
            <w:color w:val="auto"/>
            <w:sz w:val="28"/>
            <w:szCs w:val="28"/>
          </w:rPr>
          <w:t>Dunn 2007</w:t>
        </w:r>
      </w:hyperlink>
      <w:r w:rsidRPr="004F5888">
        <w:rPr>
          <w:sz w:val="28"/>
          <w:szCs w:val="28"/>
        </w:rPr>
        <w:t>). Хорошо известно, что, несмотря на серьезность трудностей с памятью, некоторые системы памяти и процессы, такие как имплицитная память (например, прайминг, процедурная память), относительно сохраняются на более мягких стадиях БА и сосудистой деменции (</w:t>
      </w:r>
      <w:proofErr w:type="spellStart"/>
      <w:r w:rsidR="0093135B">
        <w:fldChar w:fldCharType="begin"/>
      </w:r>
      <w:r w:rsidR="0093135B">
        <w:instrText xml:space="preserve"> HYPERLINK "https://www.cochranelibrary.com/cdsr/doi/10.1002/14651858.CD003260.pub2/references" \l "CD003260-bbs2-0078" </w:instrText>
      </w:r>
      <w:r w:rsidR="0093135B">
        <w:fldChar w:fldCharType="separate"/>
      </w:r>
      <w:r w:rsidRPr="004F5888">
        <w:rPr>
          <w:rStyle w:val="a9"/>
          <w:color w:val="auto"/>
          <w:sz w:val="28"/>
          <w:szCs w:val="28"/>
        </w:rPr>
        <w:t>Brandt</w:t>
      </w:r>
      <w:proofErr w:type="spellEnd"/>
      <w:r w:rsidRPr="004F5888">
        <w:rPr>
          <w:rStyle w:val="a9"/>
          <w:color w:val="auto"/>
          <w:sz w:val="28"/>
          <w:szCs w:val="28"/>
        </w:rPr>
        <w:t xml:space="preserve"> 1995</w:t>
      </w:r>
      <w:r w:rsidR="0093135B">
        <w:rPr>
          <w:rStyle w:val="a9"/>
          <w:color w:val="auto"/>
          <w:sz w:val="28"/>
          <w:szCs w:val="28"/>
        </w:rPr>
        <w:fldChar w:fldCharType="end"/>
      </w:r>
      <w:r w:rsidRPr="004F5888">
        <w:rPr>
          <w:sz w:val="28"/>
          <w:szCs w:val="28"/>
        </w:rPr>
        <w:t>; </w:t>
      </w:r>
      <w:hyperlink r:id="rId51" w:anchor="CD003260-bbs2-0117" w:history="1">
        <w:r w:rsidRPr="004F5888">
          <w:rPr>
            <w:rStyle w:val="a9"/>
            <w:color w:val="auto"/>
            <w:sz w:val="28"/>
            <w:szCs w:val="28"/>
          </w:rPr>
          <w:t>Morris 1996</w:t>
        </w:r>
      </w:hyperlink>
      <w:r w:rsidRPr="004F5888">
        <w:rPr>
          <w:sz w:val="28"/>
          <w:szCs w:val="28"/>
        </w:rPr>
        <w:t>). Этот профиль предполагает, что интервенции могут быть направлены на развитие областей относительной силы, отраженной в сохраненных аспектах памяти, помогая пациентам разрабатывать стратегии для изучения информации через менее поврежденные компоненты системы памяти. Наконец, когнитивные реабилитационные вмешательства также пытаются помочь пациентам в разработке способов компенсации нарушений в тех аспектах памяти, которые значительно затронуты (например, использование внешних средств памяти, внесение изменений в окружающую среду), чтобы минимизировать когнитивные требования различных видов деятельности (</w:t>
      </w:r>
      <w:proofErr w:type="spellStart"/>
      <w:r w:rsidR="0093135B">
        <w:fldChar w:fldCharType="begin"/>
      </w:r>
      <w:r w:rsidR="0093135B">
        <w:instrText xml:space="preserve"> HYPERLINK "https://www.cochranelibrary.com/cdsr/doi/10.1002/14651858.CD003260.pub2/references" \l "CD003260-bbs2-0074" </w:instrText>
      </w:r>
      <w:r w:rsidR="0093135B">
        <w:fldChar w:fldCharType="separate"/>
      </w:r>
      <w:r w:rsidRPr="004F5888">
        <w:rPr>
          <w:rStyle w:val="a9"/>
          <w:color w:val="auto"/>
          <w:sz w:val="28"/>
          <w:szCs w:val="28"/>
        </w:rPr>
        <w:t>Bird</w:t>
      </w:r>
      <w:proofErr w:type="spellEnd"/>
      <w:r w:rsidRPr="004F5888">
        <w:rPr>
          <w:rStyle w:val="a9"/>
          <w:color w:val="auto"/>
          <w:sz w:val="28"/>
          <w:szCs w:val="28"/>
        </w:rPr>
        <w:t xml:space="preserve"> 2001</w:t>
      </w:r>
      <w:r w:rsidR="0093135B">
        <w:rPr>
          <w:rStyle w:val="a9"/>
          <w:color w:val="auto"/>
          <w:sz w:val="28"/>
          <w:szCs w:val="28"/>
        </w:rPr>
        <w:fldChar w:fldCharType="end"/>
      </w:r>
      <w:r w:rsidRPr="004F5888">
        <w:rPr>
          <w:sz w:val="28"/>
          <w:szCs w:val="28"/>
        </w:rPr>
        <w:t>; </w:t>
      </w:r>
      <w:proofErr w:type="spellStart"/>
      <w:r w:rsidR="00667E06">
        <w:fldChar w:fldCharType="begin"/>
      </w:r>
      <w:r w:rsidR="00667E06">
        <w:instrText xml:space="preserve"> HYPERLINK "https://www.cochranelibrary.com/cdsr/doi/10.1002/14651858.CD003260.pub2/references" \l "CD003260-bbs2-0076" </w:instrText>
      </w:r>
      <w:r w:rsidR="00667E06">
        <w:fldChar w:fldCharType="separate"/>
      </w:r>
      <w:r w:rsidRPr="004F5888">
        <w:rPr>
          <w:rStyle w:val="a9"/>
          <w:color w:val="auto"/>
          <w:sz w:val="28"/>
          <w:szCs w:val="28"/>
        </w:rPr>
        <w:t>Bourgeois</w:t>
      </w:r>
      <w:proofErr w:type="spellEnd"/>
      <w:r w:rsidRPr="004F5888">
        <w:rPr>
          <w:rStyle w:val="a9"/>
          <w:color w:val="auto"/>
          <w:sz w:val="28"/>
          <w:szCs w:val="28"/>
        </w:rPr>
        <w:t xml:space="preserve"> 1990</w:t>
      </w:r>
      <w:r w:rsidR="00667E06">
        <w:rPr>
          <w:rStyle w:val="a9"/>
          <w:color w:val="auto"/>
          <w:sz w:val="28"/>
          <w:szCs w:val="28"/>
        </w:rPr>
        <w:fldChar w:fldCharType="end"/>
      </w:r>
      <w:r w:rsidRPr="004F5888">
        <w:rPr>
          <w:sz w:val="28"/>
          <w:szCs w:val="28"/>
        </w:rPr>
        <w:t>; </w:t>
      </w:r>
      <w:hyperlink r:id="rId52" w:anchor="CD003260-bbs2-0086" w:history="1">
        <w:r w:rsidRPr="004F5888">
          <w:rPr>
            <w:rStyle w:val="a9"/>
            <w:color w:val="auto"/>
            <w:sz w:val="28"/>
            <w:szCs w:val="28"/>
          </w:rPr>
          <w:t>Clare 2000</w:t>
        </w:r>
      </w:hyperlink>
      <w:r w:rsidRPr="004F5888">
        <w:rPr>
          <w:sz w:val="28"/>
          <w:szCs w:val="28"/>
        </w:rPr>
        <w:t>; </w:t>
      </w:r>
      <w:hyperlink r:id="rId53" w:anchor="CD003260-bbs2-0109" w:history="1">
        <w:r w:rsidRPr="004F5888">
          <w:rPr>
            <w:rStyle w:val="a9"/>
            <w:color w:val="auto"/>
            <w:sz w:val="28"/>
            <w:szCs w:val="28"/>
          </w:rPr>
          <w:t>Курлычек 1983</w:t>
        </w:r>
      </w:hyperlink>
      <w:r w:rsidRPr="004F5888">
        <w:rPr>
          <w:sz w:val="28"/>
          <w:szCs w:val="28"/>
        </w:rPr>
        <w:t>). Когнитивные реабилитационные вмешательства используют эти и другие методы для улучшения или поддержания повседневного функционирования и благополучия, а также для уменьшения избыточной инвалидности для человека с деменцией, одновременно снижая нагрузку для семейных сиделок.</w:t>
      </w:r>
    </w:p>
    <w:p w14:paraId="01237D9B" w14:textId="7BCE0546" w:rsidR="00BD1496" w:rsidRPr="004F5888" w:rsidRDefault="009E2E90" w:rsidP="004F5888">
      <w:pPr>
        <w:spacing w:after="0" w:line="240" w:lineRule="auto"/>
        <w:jc w:val="both"/>
        <w:rPr>
          <w:rStyle w:val="a9"/>
          <w:rFonts w:ascii="Times New Roman" w:hAnsi="Times New Roman" w:cs="Times New Roman"/>
          <w:color w:val="auto"/>
          <w:sz w:val="28"/>
          <w:szCs w:val="28"/>
          <w:u w:val="none"/>
          <w:vertAlign w:val="superscript"/>
        </w:rPr>
      </w:pPr>
      <w:r w:rsidRPr="004F5888">
        <w:rPr>
          <w:rFonts w:ascii="Times New Roman" w:hAnsi="Times New Roman" w:cs="Times New Roman"/>
          <w:sz w:val="28"/>
          <w:szCs w:val="28"/>
        </w:rPr>
        <w:t>Тем не менее, более ранние исследования показали, что когнитивные вмешательства неуместны, поскольку они неэффективны и приводят к фрустрации и депрессии среди участников и лиц, осуществляющих уход (</w:t>
      </w:r>
      <w:hyperlink r:id="rId54" w:anchor="CD003260-bbs2-0131" w:history="1">
        <w:r w:rsidRPr="004F5888">
          <w:rPr>
            <w:rStyle w:val="a9"/>
            <w:rFonts w:ascii="Times New Roman" w:hAnsi="Times New Roman" w:cs="Times New Roman"/>
            <w:color w:val="auto"/>
            <w:sz w:val="28"/>
            <w:szCs w:val="28"/>
            <w:shd w:val="clear" w:color="auto" w:fill="FFFFFF"/>
          </w:rPr>
          <w:t>Small 1997</w:t>
        </w:r>
      </w:hyperlink>
      <w:r w:rsidRPr="004F5888">
        <w:rPr>
          <w:rFonts w:ascii="Times New Roman" w:hAnsi="Times New Roman" w:cs="Times New Roman"/>
          <w:sz w:val="28"/>
          <w:szCs w:val="28"/>
        </w:rPr>
        <w:t>). С ростом внимания к раннему выявлению и вмешательству в лечение деменции становится очевидной необходимость четкой доказательной базы для когнитивно‐ориентированных вмешательств (</w:t>
      </w:r>
      <w:proofErr w:type="spellStart"/>
      <w:r w:rsidR="0093135B">
        <w:fldChar w:fldCharType="begin"/>
      </w:r>
      <w:r w:rsidR="0093135B">
        <w:instrText xml:space="preserve"> HYPERLINK "https://www.cochranelibrary.com/cdsr/doi/10.1002/14651858.CD003260.pub2/references" \l "CD003260-bbs2-0137" </w:instrText>
      </w:r>
      <w:r w:rsidR="0093135B">
        <w:fldChar w:fldCharType="separate"/>
      </w:r>
      <w:r w:rsidRPr="004F5888">
        <w:rPr>
          <w:rStyle w:val="a9"/>
          <w:rFonts w:ascii="Times New Roman" w:hAnsi="Times New Roman" w:cs="Times New Roman"/>
          <w:color w:val="auto"/>
          <w:sz w:val="28"/>
          <w:szCs w:val="28"/>
          <w:shd w:val="clear" w:color="auto" w:fill="FFFFFF"/>
        </w:rPr>
        <w:t>Woods</w:t>
      </w:r>
      <w:proofErr w:type="spellEnd"/>
      <w:r w:rsidRPr="004F5888">
        <w:rPr>
          <w:rStyle w:val="a9"/>
          <w:rFonts w:ascii="Times New Roman" w:hAnsi="Times New Roman" w:cs="Times New Roman"/>
          <w:color w:val="auto"/>
          <w:sz w:val="28"/>
          <w:szCs w:val="28"/>
          <w:shd w:val="clear" w:color="auto" w:fill="FFFFFF"/>
        </w:rPr>
        <w:t xml:space="preserve"> &amp; </w:t>
      </w:r>
      <w:proofErr w:type="spellStart"/>
      <w:r w:rsidRPr="004F5888">
        <w:rPr>
          <w:rStyle w:val="a9"/>
          <w:rFonts w:ascii="Times New Roman" w:hAnsi="Times New Roman" w:cs="Times New Roman"/>
          <w:color w:val="auto"/>
          <w:sz w:val="28"/>
          <w:szCs w:val="28"/>
          <w:shd w:val="clear" w:color="auto" w:fill="FFFFFF"/>
        </w:rPr>
        <w:t>Clare</w:t>
      </w:r>
      <w:proofErr w:type="spellEnd"/>
      <w:r w:rsidRPr="004F5888">
        <w:rPr>
          <w:rStyle w:val="a9"/>
          <w:rFonts w:ascii="Times New Roman" w:hAnsi="Times New Roman" w:cs="Times New Roman"/>
          <w:color w:val="auto"/>
          <w:sz w:val="28"/>
          <w:szCs w:val="28"/>
          <w:shd w:val="clear" w:color="auto" w:fill="FFFFFF"/>
        </w:rPr>
        <w:t xml:space="preserve"> 2006</w:t>
      </w:r>
      <w:r w:rsidR="0093135B">
        <w:rPr>
          <w:rStyle w:val="a9"/>
          <w:rFonts w:ascii="Times New Roman" w:hAnsi="Times New Roman" w:cs="Times New Roman"/>
          <w:color w:val="auto"/>
          <w:sz w:val="28"/>
          <w:szCs w:val="28"/>
          <w:shd w:val="clear" w:color="auto" w:fill="FFFFFF"/>
        </w:rPr>
        <w:fldChar w:fldCharType="end"/>
      </w:r>
      <w:r w:rsidRPr="004F5888">
        <w:rPr>
          <w:rFonts w:ascii="Times New Roman" w:hAnsi="Times New Roman" w:cs="Times New Roman"/>
          <w:sz w:val="28"/>
          <w:szCs w:val="28"/>
        </w:rPr>
        <w:t xml:space="preserve">). Как уже упоминалось, недавний систематический обзор пришел к выводу, что общая когнитивная стимуляция и </w:t>
      </w:r>
      <w:r w:rsidRPr="004F5888">
        <w:rPr>
          <w:rFonts w:ascii="Times New Roman" w:hAnsi="Times New Roman" w:cs="Times New Roman"/>
          <w:sz w:val="28"/>
          <w:szCs w:val="28"/>
        </w:rPr>
        <w:lastRenderedPageBreak/>
        <w:t>ориентация на реальность обеспечивают преимущества с точки зрения общего когнитивного статуса пациентов и аспектов их благополучия (</w:t>
      </w:r>
      <w:proofErr w:type="spellStart"/>
      <w:r w:rsidR="0093135B">
        <w:fldChar w:fldCharType="begin"/>
      </w:r>
      <w:r w:rsidR="0093135B">
        <w:instrText xml:space="preserve"> HYPERLINK "https://www.cochranelibrary.com/cdsr/doi/10.1002/14651858.CD003260.pub2/references" \l "CD003260-bbs2-0138" </w:instrText>
      </w:r>
      <w:r w:rsidR="0093135B">
        <w:fldChar w:fldCharType="separate"/>
      </w:r>
      <w:r w:rsidRPr="004F5888">
        <w:rPr>
          <w:rStyle w:val="a9"/>
          <w:rFonts w:ascii="Times New Roman" w:hAnsi="Times New Roman" w:cs="Times New Roman"/>
          <w:color w:val="auto"/>
          <w:sz w:val="28"/>
          <w:szCs w:val="28"/>
          <w:shd w:val="clear" w:color="auto" w:fill="FFFFFF"/>
        </w:rPr>
        <w:t>Woods</w:t>
      </w:r>
      <w:proofErr w:type="spellEnd"/>
      <w:r w:rsidRPr="004F5888">
        <w:rPr>
          <w:rStyle w:val="a9"/>
          <w:rFonts w:ascii="Times New Roman" w:hAnsi="Times New Roman" w:cs="Times New Roman"/>
          <w:color w:val="auto"/>
          <w:sz w:val="28"/>
          <w:szCs w:val="28"/>
          <w:shd w:val="clear" w:color="auto" w:fill="FFFFFF"/>
        </w:rPr>
        <w:t xml:space="preserve"> 2012</w:t>
      </w:r>
      <w:r w:rsidR="0093135B">
        <w:rPr>
          <w:rStyle w:val="a9"/>
          <w:rFonts w:ascii="Times New Roman" w:hAnsi="Times New Roman" w:cs="Times New Roman"/>
          <w:color w:val="auto"/>
          <w:sz w:val="28"/>
          <w:szCs w:val="28"/>
          <w:shd w:val="clear" w:color="auto" w:fill="FFFFFF"/>
        </w:rPr>
        <w:fldChar w:fldCharType="end"/>
      </w:r>
      <w:r w:rsidRPr="004F5888">
        <w:rPr>
          <w:rFonts w:ascii="Times New Roman" w:hAnsi="Times New Roman" w:cs="Times New Roman"/>
          <w:sz w:val="28"/>
          <w:szCs w:val="28"/>
        </w:rPr>
        <w:t xml:space="preserve">). Могут ли более целенаправленные подходы, такие как когнитивная тренировка и когнитивная реабилитация, дать столь же обнадеживающие </w:t>
      </w:r>
      <w:r w:rsidR="00AC352A" w:rsidRPr="004F5888">
        <w:rPr>
          <w:rFonts w:ascii="Times New Roman" w:hAnsi="Times New Roman" w:cs="Times New Roman"/>
          <w:sz w:val="28"/>
          <w:szCs w:val="28"/>
        </w:rPr>
        <w:t>результаты, пока не определено.</w:t>
      </w:r>
      <w:r w:rsidR="00AC352A" w:rsidRPr="004F5888">
        <w:rPr>
          <w:rFonts w:ascii="Times New Roman" w:hAnsi="Times New Roman" w:cs="Times New Roman"/>
          <w:sz w:val="28"/>
          <w:szCs w:val="28"/>
          <w:vertAlign w:val="superscript"/>
        </w:rPr>
        <w:t>27</w:t>
      </w:r>
    </w:p>
    <w:p w14:paraId="49AFE81C" w14:textId="77777777" w:rsidR="00BD1496" w:rsidRPr="004F5888" w:rsidRDefault="00BD1496" w:rsidP="004F5888">
      <w:pPr>
        <w:spacing w:after="0" w:line="240" w:lineRule="auto"/>
        <w:jc w:val="both"/>
        <w:rPr>
          <w:rFonts w:ascii="Times New Roman" w:hAnsi="Times New Roman" w:cs="Times New Roman"/>
          <w:sz w:val="28"/>
          <w:szCs w:val="28"/>
        </w:rPr>
      </w:pPr>
      <w:r w:rsidRPr="004F5888">
        <w:rPr>
          <w:rFonts w:ascii="Times New Roman" w:hAnsi="Times New Roman" w:cs="Times New Roman"/>
          <w:sz w:val="28"/>
          <w:szCs w:val="28"/>
        </w:rPr>
        <w:t xml:space="preserve">ВОЗМОЖНОСТИ ПРОФИЛАКТИКИ ДЕМЕНЦИИ </w:t>
      </w:r>
    </w:p>
    <w:p w14:paraId="4C264956" w14:textId="12C8CC60" w:rsidR="00BD1496" w:rsidRPr="004F5888" w:rsidRDefault="00BD1496" w:rsidP="004F5888">
      <w:pPr>
        <w:spacing w:after="0" w:line="240" w:lineRule="auto"/>
        <w:jc w:val="both"/>
        <w:rPr>
          <w:rStyle w:val="a9"/>
          <w:rFonts w:ascii="Times New Roman" w:hAnsi="Times New Roman" w:cs="Times New Roman"/>
          <w:sz w:val="28"/>
          <w:szCs w:val="28"/>
        </w:rPr>
      </w:pPr>
      <w:r w:rsidRPr="004F5888">
        <w:rPr>
          <w:rFonts w:ascii="Times New Roman" w:hAnsi="Times New Roman" w:cs="Times New Roman"/>
          <w:sz w:val="28"/>
          <w:szCs w:val="28"/>
        </w:rPr>
        <w:t xml:space="preserve">Рассмотрим некоторые возможности первичной профилактики. В современных исследованиях большое внимание уделяется коррекции модифицируемых факторов риска, обусловленных образом жизни. Эти факторы риска включают отсутствие физической активности, ожирение, несбалансированное питание, употребление табака и алкоголя, диабет и артериальную гипертензию в зрелом возрасте. Другие потенциально изменяемые факторы риска включают депрессию, низкий уровень образования, социальную изоляцию и отсутствие когнитивной активности [4]. Была разработана модель риска развития деменции на протяжении жизненного цикла, оценивающая вклад каждого из факторов риска в общую заболеваемость деменцией [5]. Объединенные данные на сегодняшний день показывают, что примерно 35% всех случаев деменции связаны с 9 потенциально изменяемыми факторами риска, такими как низкий уровень образования, артериальная гипертензия, ожирение, снижение слуха, депрессия, сахарный диабет, физическая пассивность, курение, низкий уровень социальных контактов. Распространенность деменции может снизиться более чем на 1 млн случаев после 10%-ного снижения распространенности 7 факторов риска, связанных с образом жизни. Вмешательство, которое позволит отсрочить развитие деменции на 1 год, может снизить число больных, живущих с деменцией, глобально на 9 млн к 2050 г. РЕГУЛЯРНАЯ ФИЗИЧЕСКАЯ АКТИВНОСТЬ Очень важным компонентом здорового образа жизни, направленного на предотвращение развития когнитивного снижения, является физическая активность. Ее эффективность в отношении предупреждения как развития УКР, так и их конверсии в деменцию была подтверждена в многочисленных исследованиях. Физическая активность признается одним из важнейших модифицируемых факторов риска деменции [6–8]. Активный образ жизни в раннем и среднем возрасте позволяет предотвратить когнитивное снижение в пожилом возрасте [9]. Были проанализированы кросс-секционные данные исследования Всемирной организации здравоохранения по проблемам глобального старения и здоровья взрослых (Китай, Гана, Индия, Мексика, Россия, Южная Африка) (n = 32 715, средний возраст 62,1 ± SD 15,6 года, 51,7% женщин) [10]. Общая распространенность УКР и низкого уровня физической активности составляла 15,3% [95% ДИ 14,4–16,3%] и 22,4% [95% ДИ 21,1– 23,7%] соответственно. В модели, скорректированной на социально-демографические факторы, в общей выборке отмечено увеличение шансов развития УКР в 1,28 [95% ДИ 1,11–1,48] раза для лиц с низким уровнем физической активности. Особенно сильная ассоциация наблюдалась у лиц в возрасте ≥ 65 лет (отношение шансов = 1,65 [1,34–2,03]). В Роттердамском исследовании также была продемонстрирована связь между более высокой физической активностью и меньшим риском развития деменции (HR 0,95, 95% ДИ 0,87–1,04) [11]. Особый интерес, безусловно, представляют данные 29-летнего наблюдения за близнецами – членами Finnish Twin Cohort (n = 21,791) [12]. Отношение рисков к возрасту и полу (HR) составляло 0,65 (95% ДИ 0,43–0,98) для </w:t>
      </w:r>
      <w:r w:rsidRPr="004F5888">
        <w:rPr>
          <w:rFonts w:ascii="Times New Roman" w:hAnsi="Times New Roman" w:cs="Times New Roman"/>
          <w:sz w:val="28"/>
          <w:szCs w:val="28"/>
        </w:rPr>
        <w:lastRenderedPageBreak/>
        <w:t xml:space="preserve">субъектов с высокой физической активностью по сравнению с теми, кто был неактивен. Соответствующий HR для внутрипарных сравнений менее активного по сравнению с более активным близнецом составлял 0,48 (95% ДИ 0,17–1,32). То есть исследование показало, что физиче- 54 МЕДИЦИНСКИЙ СОВЕТ Когнитивные расстройства 2019;(18):52–58 ская активность может быть серьезным фактором профилактики деменции. Уже при наличии когнитивного дефицита совместное применение когнитивных и физических тренировок приводило к улучшению когнитивного статуса у пожилых людей [13]. В Японии было проведено рандомизированное параллельное слепое контролируемое исследование эффективности 40-недельной программы комбинированной когнитивной и физической реабилитации, которая включала еженедельные 90-минутные сеансы в течение 40 недель, в сравнении с результатами стандартной программы санитарного просвещения [14]. Физическая активность позволяла уменьшить выраженность не только когнитивных нарушений, но и атрофии левой медиальной височной области. У пожилых пациентов с субкортикальными сосудистыми когнитивными расстройствами физическая активность была ассоциирована с лучшим когнитивным статусом, особенно это касалось исполнительных функций, что было подтверждено функциональной магнитно-резонансной томографией [15]. Схожие результаты были получены при оценке эффективности 6-месячной аэробной тренировки 3 раза в неделю у лиц с УКР сосудистого генеза по сравнению с обычным уходом и просвещением [16]. Недавнее клиническое наблюдение за пожилой когортой на протяжении более 10 лет показало, что физическая активность влияет на размер гиппокампа [17]. Более того, отмечено, что положительное влияние регулярных физических упражнений на защиту от деменции было самым сильным у людей в возрасте 75 лет и старше, поскольку низкая физическая активность связана с более высоким риском развития слабоумия у этой категории людей. Аэробные упражнения у здоровых пожилых людей были связаны с большим объемом серого вещества, в частности области переднего гиппокампа, и белого вещества [18]. Даже физическая активность низкой интенсивности была ассоциирована с большим объемом гиппокампа у пожилых [19]. Следует отметить, что однозначно механизмы влияния физической активности на когнитивные функции неясны. Одним из возможных механизмов является положительное влияние на риск сердечно-сосудистых заболеваний [20, 21]. Экспериментальные исследования показывают влияние аэробных упражнений на повышение церебральной перфузии [22]. Аэробные упражнения увеличивают мозговой кровоток (CBF) как у здоровых испытуемых, так и у пациентов с сосудистыми когнитивными нарушениями [23]. Другим механизмом протективного действия физической нагрузки является ее положительное воздействие на эндотелиальную дисфункцию [24]. Наиболее распространенные механизмы индуцированного упражнениями улучшения функции мозга включают в себя изменение нейрогенеза, нейрональной пластичности и рецепторного аппарата, а также нейронных сетей [25]. Доказательства, полученные на животных моделях, показывают, что аэробные упражнения обладает способностью облегчать процессы ангиогенеза и нейрогенеза, приводя к уменьшению атрофических процессов, в частности в гиппокампальной области [26, 27]. Показана нормализация продукции </w:t>
      </w:r>
      <w:r w:rsidRPr="004F5888">
        <w:rPr>
          <w:rFonts w:ascii="Times New Roman" w:hAnsi="Times New Roman" w:cs="Times New Roman"/>
          <w:sz w:val="28"/>
          <w:szCs w:val="28"/>
        </w:rPr>
        <w:lastRenderedPageBreak/>
        <w:t xml:space="preserve">мозгового нейротрофического фактора (BDNF) и других нейротрофических факторов [28, 29]. На экспериментальной модели сосудистых когнитивных расстройств [30] по сравнению с контролем было продемонстрировано снижение воспаления, отложения бета-амилоида (Aβ), уменьшение повреждения серого и белого вещества, повышение мозгового кровотока. Недавно в журнале Lancet были опубликованы данные о том, что регулярные физические упражнения могут предотвратить 300 000 случаев деменции в год во всем мире, если каждый будет физически активен [31]. ПИТАНИЕ Стратегии, связанные с питанием, сосредоточены на общем качестве диеты, а не на отдельных продуктах питания или питательных веществах. Высококачественные диеты, которые связаны с лучшей когнитивной функцией и снижением риска деменции, акцентируются на употреблении овощей, фруктов, орехов, цельных зерен и рыбы, а также минимизации употребления красного мяса, высокожирных молочных продуктов, сладостей и высокообработанных пищевых продуктов [32]. На этих принципах были построены подготовленные в 2015 г. в Нидерландах диетические рекомендации [33]. Был включен 9 701 участник Роттердамского исследования (популяционная проспективная когорта, лица в возрасте 45 лет и старше, в среднем 64,1 года (95%  – в группе 49,0–82,8)). Период наблюдения в среднем составлял 13,5 года (диапазон 0–27,0). Отмечен меньший риск смертности, инсульта, хронической обструктивной болезни легких, колоректального рака и депрессии. Для адекватного функционирования нервной ткани необходимо крайне сбалансированное поступление различных веществ. Например, с одной стороны, липиды являются основными структурными компонентами клеточных мембран нейронов. С другой стороны, холестерин может играть важную роль при БА. В частности, холестерин образует ядро амилоидных бляшек, и это обусловлено тем, что первичная роль белка – предшественника амилоида (APP)  – удаление избыточного холестерина из головного мозга. ApoE кодирует один из нескольких белков, вовлеченных в транспорт холестерина [34]. Состав диетического жира является важным фактором в функционировании гематоэнцефалического барьера. Рыба и рыбий жир являются наиболее распространенными диетическими источниками длинноцепочечных омега-3 жирных кислот из группы полиненасыщенных жиров, которые в первую очередь включают эйкозапентаеновую и докозагексаеновую кислоты. Регулярное потребление обоих этих жиров может уменьшать эндотелиаль- MEDITSINSKIY SOVET 55 Cognitive impairment 2019;(18):52–58 ную дисфункцию, уровень триглицеридов и оказывать противовоспалительное действие. Систематический обзор проспективных исследований, включавших 28 754 субъекта, при сравнении максимального и наименьшего уровня потребления рыбы выявил суммарный относительный риск для БА, равный 0,80 (95% ДИ = 0,65–0,97), т. е. люди с более высоким потреблением рыбы имели 20%-ное (95% ДИ = 3–35%) снижение риска БА [35]. Метаанализ 43 исследований, посвященных связи диетических особенностей с риском развития деменции, показал снижение риска при употреблении ненасыщенных жирных кислот (RR: 0,84, 95% ДИ: [0,74–0,95], p = 0,006), антиоксидантов (RR: 0,87, 95% ДИ: [0,77–0,98] , p = 0,026), витамина B (RR: 0,72, 95% ДИ: 0,54–0,96), p = 0,026) и средиземноморской диеты (RR: 0,69, 95% ДИ: [0,57–0,84] p &lt; 0,001). Некоторые вещества были связаны с увеличением риска деменции: </w:t>
      </w:r>
      <w:r w:rsidRPr="004F5888">
        <w:rPr>
          <w:rFonts w:ascii="Times New Roman" w:hAnsi="Times New Roman" w:cs="Times New Roman"/>
          <w:sz w:val="28"/>
          <w:szCs w:val="28"/>
        </w:rPr>
        <w:lastRenderedPageBreak/>
        <w:t xml:space="preserve">например, алюминий (RR: 2,24, 95% ДИ: [1,49–3,37], p &lt; 0,001) и низкий уровень витамина D (RR: 1,52, 95% ДИ: [1,17–1,98], p = 0,002) [36]. Среди различных диетических моделей, которые были проверены на их воздействие на когнитивные функции, традиционная средиземноморская диета показала многообещающие результаты. Средиземноморская диета включает: 1) высокое содержание мононенасыщенных/насыщенных жиров (использование оливкового масла в качестве основного ингредиента для приготовления пищи); 2) высокое потребление фруктов/овощей; 3) высокое потребление бобовых; 4) высокий уровень потребления зерновых культур; 5) умеренное потребление красного вина; 6) умеренное потребление молочных продуктов и 7) низкий уровень потребления мяса и мясных продуктов (заменяется увеличением потребления рыбы) [37]. Средиземноморская диета имеет особенности, отличающие ее от других рационов питания. Во-первых, эта диета богата антиоксидантами с защитным эффектом против когнитивного спада. Во-вторых, средиземноморская диета включает в себя высокий уровень потребления рыбы и оливкового масла, богатых омега-3 жирными кислотами, которые оказывают противовоспалительное действие. Высокое содержание клетчатки в овощах и фруктах также оказывает противовоспалительное действие. Наконец, у красного вина – аналогичный эффект: уменьшение уровня С-реактивного белка и интерлейкинов [38]. Средиземноморская диета может использоваться в качестве альтернативного профилактического лечения деменции [39–41]. Cистематический анализ 32 исследований из 25 уникальных когорт, включая 5 рандомизированных клинических и 27 наблюдательных, показал, что средиземноморская диета ассоциировалась с улучшенной когнитивной функцией, уменьшением риска развития когнитивных нарушений или деменции [42]. Эффективность средиземноморской диеты, возможно, объясняется включением фруктов, овощей, оливкового масла, рыбы и умеренного потребления вина, что обеспечивает наличие витаминов, полифенолов и ненасыщенных жирных кислот. Эта диета уменьшает окислительный стресс, приводит к более низкой экспрессии и снижению продуцирования провоспалительных цитокинов [43]. Диета, особенно в сочетании с физической активностью, способна оказывать модулирующее действие на некоторые процессы нейропластичности [44]. СОН Огромную роль в поддержании существования любого живого организма играют биологические ритмы. Под этим понимают определенные ритмические изменения всех физиологических процессов в организме. Одним из важнейших является 24-часовой суточный ритм. Одним из факторов риска, которому сейчас придается большое значение, является сон. Нарушения сна неразрывно связаны с когнитивными расстройствами. Достаточно только вспомнить о сопряженности процессов долговременной памяти и медленно-волнового сна [45]. Уникальным является исследование The Uppsala Longitudinal Study of Adult Men (ULSAM), которое было инициировано в 1970 г. в Уппсале (Швеция) [46]. Все 50-летние мужчины были включены в исследование, их повторно осматривали в возрасте 60, 70, 77, 82 и 88 лет. Были проанализированы данные 1 574 участников. Логистическая регрессия показала, что наибольший риск развития деменции отмечен только у мужчин, сообщавших о нарушениях сна в возрасте 70 лет (OR 2,14 [95% CI – 1,42, 3,21]). Нарушения сна провоцируют развитие сердечнососудистой патологии. </w:t>
      </w:r>
      <w:r w:rsidRPr="004F5888">
        <w:rPr>
          <w:rFonts w:ascii="Times New Roman" w:hAnsi="Times New Roman" w:cs="Times New Roman"/>
          <w:sz w:val="28"/>
          <w:szCs w:val="28"/>
        </w:rPr>
        <w:lastRenderedPageBreak/>
        <w:t xml:space="preserve">Популяционное исследование 20 432 человек в возрасте 20–65 лет подтвердило такое влияние [47]. При анализе данных когорты из более чем 200 тыс. человек было показано, что сон менее 6 и более 9 часов является фактором риска сахарного диабета, инсульта, артериальной гипертензии и ишемической болезни сердца [48]. Негативное влияние нарушений сна на когнитивные функции касается все аспектов этой патологии. Метаанализ обсервационных исследований, опубликованных в PubMed, EMBASE, включивший 53 942 участника (средний возраст 66,9 года), показал, что при большей продолжительности сна относительный риск когнитивного снижения составлял 1,42 (95% ДИ 1,27–1,59) (для УКР 1,38 (95% ДИ 1,23–1,56) и для деменции 1,42 (95% ДИ 1,15–1,77)) [49]. Изменение структуры ночного сна также имеет большое значение. В рамках Фрамингемского исследования были прослежены ассоциации между структурой сна и предполагаемым риском развития деменции [50]. Была обследована подгруппа из 321 участника, которые участвовали в the Sleep Heart Health Study в период с 1995 по 1998 г. и были старше 60 лет во время оценки сна (средний возраст 67 ± 5 лет, 50% мужчин). Обследование сна выполнялось с использованием домашней полисомнографии. Участников наблюдали в течение 19 лет (среднее наблюдение 12 ± 5 лет). После корректировки по возрасту и полу более низкий процент REM-сна и более длительная латентность REM-сна были связаны с более высоким риском развития деменции. Каждое процентное 56 МЕДИЦИНСКИЙ СОВЕТ Когнитивные расстройства 2019;(18):52–58 снижение REM-сна было связано с приблизительно 9%-ным увеличением риска развития деменции (коэффициент риска 0,91, 95% CI 0,86, 0,97). Это может быть основанием для рассмотрения состояния REM-сна как предиктора клинической деменции. Нарушения сна приводят к изменению обмена амилоида, препятствуя клиренсу Aβ, увеличивая синаптическую активность и способствуя накоплению Aβ, а также ухудшая реакцию эндоплазматического ретикулума на клеточный стресс, приводящий к накоплению Aβ [51]. Следует помнить, что нарушения сна являются проявлением дисбаланса в системе гипокретинов, которые могут играть определенную роль в регуляции уровня Aβ. Вероятно, именно с этими механизмами связано то, что нарушения сна рассматриваются в основном как предикторы развития БА, но не сосудистой деменции. Это было показано в систематическом обзоре Shi L. и соавт., основанном на анализе данных 246 786 пациентов [52]. Результаты крупного метаанализа, включавшего 27 обсервационных исследований и 69 216 наблюдений, продемонстрировали, что относительный риск развития БА у лиц с нарушениями сна увеличивался в 1,55 раза. Считается, что около 15% случаев БА в популяции могут быть связаны с расстройствами сна [53]. ЛЕКАРСТВЕННАЯ ПРОФИЛАКТИКА ДЕМЕНЦИИ Вместе с тем, наряду с борьбой с факторами риска, сейчас все большее внимание уделяется возможностям медикаментозной профилактики развития деменции. Особая роль в развитии повреждения нервной ткани, а также когнитивного дефицита отводится глутаматергической системе [54]. Препаратом, воздействующим на эту систему, является обратимый блокатор NMDA-рецепторов мемантин (Акатинол). Основными патогенетическими механизмами развития БА считается отложение внеклеточного Aβ с формированием бляшек и агрегация тау-протеина во внутриклеточные нейрофибриллярные клубки. Aβ преимущественно продуцируется </w:t>
      </w:r>
      <w:r w:rsidRPr="004F5888">
        <w:rPr>
          <w:rFonts w:ascii="Times New Roman" w:hAnsi="Times New Roman" w:cs="Times New Roman"/>
          <w:sz w:val="28"/>
          <w:szCs w:val="28"/>
        </w:rPr>
        <w:lastRenderedPageBreak/>
        <w:t xml:space="preserve">при расщеплении β- и g-секретазой белка – предшественника амилоида (APP). Агрегация Aβ во внеклеточные бляшки во многом зависит от его концентрации. Результаты проведенных исследований показывают, что прием Акатинола снижает уровни Aβ как в моделях AD, так и у пожилых животных и влияет на путь эндоцитоза APP, который необходим для опосредованного β-секретазой расщепления [55]. Таким образом, можно сказать, что Акатинол уменьшает образование Aβ и сенильных бляшек посредством регулирования внутриклеточного обмена APP. Отмечается уменьшение образования Aβ, ингибирование продукции Aβ посредством регулирования внутриклеточной транскрипции APP. Также следует отметить ингибирование агрегации Aβ, снижение уровня нерастворимого Aβ и ускорение деградации Aβ. Эти данные подтверждают нейропротективный эффект Акатинола. Один из ключевых патологических механизмов БА состоит в том, что клетки мозга повторно входят в клеточный цикл (начинают делиться)  – возможно, чтобы компенсировать гибель других нейронов, – и при этом погибают. Деление полностью сформированных клеток головного мозга – аномалия, не характерная для здорового мозга, а при БА до 90% гибели нейронов связаны с попыткой аномального деления. Запуск патологического цикла деления клеток, ведущего к их разрушению, происходит под воздействием молекул Aβ на нейроны на самых ранних стадиях БА и связан с усилением тока кальция через NMDA-рецепторы. В эксперименте Акатинол предотвращал запуск повторного клеточного цикла, блокируя NMDA-рецепторы на поверхности нейронов. Эти результаты позволяют предположить болезнь-модифицирующий эффект Акатинола при условии его назначения задолго до появления первых симптомов и даже до формирования амилоидных бляшек – на стадии первичного воздействия Aβ на клетки головного мозга [56]. Показано положительное влияние Акатинола на сосудистый компонент развития деменций. Исследования влияния Акатинола на микрососудистую эндотелиальную дисфункцию головного мозга человека, вызванную провоспалительным фактором некроза опухолей цитокинов-α (TNF-α), показали, что Акатинол предотвращает адгезию моноцитарных клеток, проявляя противовоспалительный механизм, обусловленный эндотелиальными клеточноопосредованными нейропротективными эффектами Акатинола [57]. Акатинол также оказывает дополнительное нейропротекторное действие за счет снижения липополисахарид-индуцированного воспаления, гиперфосфорилирования тау-протеина и антиапоптотического эффекта (снижение экспрессии каспаз). Экспериментальным подтверждением болезнь-модифицирующего эффекта Акатинола стало исследование на трансгенных мышах, показавшее выраженную редукцию амилоида и тау-фосфорилирования, улучшение когнитивных функций [58]. Клинические исследования также подтвердили роль Акатинола в первичной профилактике деменций. Известно, что пациенты с амнестическим типом УКР имеют в 3–5 раз более высокий риск развития БА. Лечение мемантином этих больных значительно уменьшило выраженность симптомов УКР. Множественный линейный регрессионный анализ показал, что исходно семантическая память была достоверно связана с перфузией в правой нижней височной области по данным SPECT. Через 48 недель терапии было отмечено статистически достоверное увеличение перфузии в этой области [59]. Метаанализ 35 </w:t>
      </w:r>
      <w:r w:rsidRPr="004F5888">
        <w:rPr>
          <w:rFonts w:ascii="Times New Roman" w:hAnsi="Times New Roman" w:cs="Times New Roman"/>
          <w:sz w:val="28"/>
          <w:szCs w:val="28"/>
        </w:rPr>
        <w:lastRenderedPageBreak/>
        <w:t>исследований 9 820 больных БА преследовал цель выявить наиболее оптимальное средство для лечения БА [60]. Полученные данные наглядно продемонстрировали, что Акатинол достоверно эффективнее других лекарственных средств при оценке по краткой шкале оценки психических функций (MMSE), что подтверждает его болезнь-модифицирующий эффект. MEDITSINSKIY SOVET 57 Cognitive impairment 2019;(18):52–58 Для оценки эффективности применения Акатинола и ингибиторов холинэстеразы у больных сосудистой деменцией было проанализировано 12 рандомизированных плацебо-контролируемых исследований, всего 25 928 человек. Изучение данных шкалы ADAS-cog показало, что прием Акатинола ассоциировался со значительно большим улучшением по сравнению с плацебо. Также только Акатинол 20 мг показал улучшение оценки CIBIC+, которое было статистически выше, чем плацебо (OR = 2,71, 95% CI: 1,05—7,29) [61]. Очень важно, что при сосудистой деменции Акатинол был единственным препаратом, оцененным как более безопасный, чем плацебо. ЗАКЛЮЧЕНИЕ Таким образом, профилактика развития когнитивных функций и деменции является крайне актуальной задачей, и одним из важнейших подходов может быть соблюдение здорового образа жизни. Выраженное нейропротективное действие Акатинола позволяет рассматривать его как возможное профилактическое средство при деменции.</w:t>
      </w:r>
      <w:r w:rsidR="00AC352A" w:rsidRPr="004F5888">
        <w:rPr>
          <w:rFonts w:ascii="Times New Roman" w:hAnsi="Times New Roman" w:cs="Times New Roman"/>
          <w:sz w:val="28"/>
          <w:szCs w:val="28"/>
          <w:vertAlign w:val="superscript"/>
        </w:rPr>
        <w:t>28</w:t>
      </w:r>
      <w:r w:rsidR="00AC352A" w:rsidRPr="004F5888">
        <w:rPr>
          <w:rStyle w:val="a9"/>
          <w:rFonts w:ascii="Times New Roman" w:hAnsi="Times New Roman" w:cs="Times New Roman"/>
          <w:sz w:val="28"/>
          <w:szCs w:val="28"/>
        </w:rPr>
        <w:t xml:space="preserve"> </w:t>
      </w:r>
    </w:p>
    <w:p w14:paraId="17D441DB" w14:textId="3BDA8899" w:rsidR="00875E84" w:rsidRPr="004F5888" w:rsidRDefault="00875E84" w:rsidP="004F5888">
      <w:pPr>
        <w:spacing w:after="0" w:line="240" w:lineRule="auto"/>
        <w:jc w:val="both"/>
        <w:rPr>
          <w:rStyle w:val="a9"/>
          <w:rFonts w:ascii="Times New Roman" w:hAnsi="Times New Roman" w:cs="Times New Roman"/>
          <w:sz w:val="28"/>
          <w:szCs w:val="28"/>
        </w:rPr>
      </w:pPr>
    </w:p>
    <w:p w14:paraId="7F871685" w14:textId="40925135" w:rsidR="00875E84" w:rsidRPr="004F5888" w:rsidRDefault="00AC352A" w:rsidP="004F5888">
      <w:pPr>
        <w:spacing w:after="0" w:line="240" w:lineRule="auto"/>
        <w:jc w:val="both"/>
        <w:rPr>
          <w:rStyle w:val="a9"/>
          <w:rFonts w:ascii="Times New Roman" w:hAnsi="Times New Roman" w:cs="Times New Roman"/>
          <w:sz w:val="28"/>
          <w:szCs w:val="28"/>
          <w:vertAlign w:val="superscript"/>
        </w:rPr>
      </w:pPr>
      <w:r w:rsidRPr="004F5888">
        <w:rPr>
          <w:rFonts w:ascii="Times New Roman" w:hAnsi="Times New Roman" w:cs="Times New Roman"/>
          <w:sz w:val="28"/>
          <w:szCs w:val="28"/>
        </w:rPr>
        <w:t xml:space="preserve">РЕГУЛЯРНАЯ ФИЗИЧЕСКАЯ АКТИВНОСТЬ Очень важным компонентом здорового образа жизни, направленного на предотвращение развития когнитивного снижения, является физическая активность. Ее эффективность в отношении предупреждения как развития УКР, так и их конверсии в деменцию была подтверждена в многочисленных исследованиях. Физическая активность признается одним из важнейших модифицируемых факторов риска деменции [6–8]. Активный образ жизни в раннем и среднем возрасте позволяет предотвратить когнитивное снижение в пожилом возрасте [9]. Были проанализированы кросс-секционные данные исследования Всемирной организации здравоохранения по проблемам глобального старения и здоровья взрослых (Китай, Гана, Индия, Мексика, Россия, Южная Африка) (n = 32 715, средний возраст 62,1 ± SD 15,6 года, 51,7% женщин) [10]. Общая распространенность УКР и низкого уровня физической активности составляла 15,3% [95% ДИ 14,4–16,3%] и 22,4% [95% ДИ 21,1– 23,7%] соответственно. В модели, скорректированной на социально-демографические факторы, в общей выборке отмечено увеличение шансов развития УКР в 1,28 [95% ДИ 1,11–1,48] раза для лиц с низким уровнем физической активности. Особенно сильная ассоциация наблюдалась у лиц в возрасте ≥ 65 лет (отношение шансов = 1,65 [1,34–2,03]). В Роттердамском исследовании также была продемонстрирована связь между более высокой физической активностью и меньшим риском развития деменции (HR 0,95, 95% ДИ 0,87–1,04) [11]. Особый интерес, безусловно, представляют данные 29-летнего наблюдения за близнецами – членами Finnish Twin Cohort (n = 21,791) [12]. Отношение рисков к возрасту и полу (HR) составляло 0,65 (95% ДИ 0,43–0,98) для субъектов с высокой физической активностью по сравнению с теми, кто был неактивен. Соответствующий HR для внутрипарных сравнений менее активного по сравнению с более активным близнецом составлял 0,48 (95% ДИ 0,17–1,32). То есть </w:t>
      </w:r>
      <w:r w:rsidRPr="004F5888">
        <w:rPr>
          <w:rFonts w:ascii="Times New Roman" w:hAnsi="Times New Roman" w:cs="Times New Roman"/>
          <w:sz w:val="28"/>
          <w:szCs w:val="28"/>
        </w:rPr>
        <w:lastRenderedPageBreak/>
        <w:t xml:space="preserve">исследование показало, что физиче- 54 МЕДИЦИНСКИЙ СОВЕТ Когнитивные расстройства 2019;(18):52–58 ская активность может быть серьезным фактором профилактики деменции. Уже при наличии когнитивного дефицита совместное применение когнитивных и физических тренировок приводило к улучшению когнитивного статуса у пожилых людей [13]. В Японии было проведено рандомизированное параллельное слепое контролируемое исследование эффективности 40-недельной программы комбинированной когнитивной и физической реабилитации, которая включала еженедельные 90-минутные сеансы в течение 40 недель, в сравнении с результатами стандартной программы санитарного просвещения [14]. Физическая активность позволяла уменьшить выраженность не только когнитивных нарушений, но и атрофии левой медиальной височной области. У пожилых пациентов с субкортикальными сосудистыми когнитивными расстройствами физическая активность была ассоциирована с лучшим когнитивным статусом, особенно это касалось исполнительных функций, что было подтверждено функциональной магнитно-резонансной томографией [15]. Схожие результаты были получены при оценке эффективности 6-месячной аэробной тренировки 3 раза в неделю у лиц с УКР сосудистого генеза по сравнению с обычным уходом и просвещением [16]. Недавнее клиническое наблюдение за пожилой когортой на протяжении более 10 лет показало, что физическая активность влияет на размер гиппокампа [17]. Более того, отмечено, что положительное влияние регулярных физических упражнений на защиту от деменции было самым сильным у людей в возрасте 75 лет и старше, поскольку низкая физическая активность связана с более высоким риском развития слабоумия у этой категории людей. Аэробные упражнения у здоровых пожилых людей были связаны с большим объемом серого вещества, в частности области переднего гиппокампа, и белого вещества [18]. Даже физическая активность низкой интенсивности была ассоциирована с большим объемом гиппокампа у пожилых [19]. Следует отметить, что однозначно механизмы влияния физической активности на когнитивные функции неясны. Одним из возможных механизмов является положительное влияние на риск сердечно-сосудистых заболеваний [20, 21]. Экспериментальные исследования показывают влияние аэробных упражнений на повышение церебральной перфузии [22]. Аэробные упражнения увеличивают мозговой кровоток (CBF) как у здоровых испытуемых, так и у пациентов с сосудистыми когнитивными нарушениями [23]. Другим механизмом протективного действия физической нагрузки является ее положительное воздействие на эндотелиальную дисфункцию [24]. Наиболее распространенные механизмы индуцированного упражнениями улучшения функции мозга включают в себя изменение нейрогенеза, нейрональной пластичности и рецепторного аппарата, а также нейронных сетей [25]. Доказательства, полученные на животных моделях, показывают, что аэробные упражнения обладает способностью облегчать процессы ангиогенеза и нейрогенеза, приводя к уменьшению атрофических процессов, в частности в гиппокампальной области [26, 27]. Показана нормализация продукции мозгового нейротрофического фактора (BDNF) и других нейротрофических факторов [28, 29]. На экспериментальной модели сосудистых когнитивных расстройств [30] по сравнению с контролем было продемонстрировано снижение воспаления, отложения </w:t>
      </w:r>
      <w:r w:rsidRPr="004F5888">
        <w:rPr>
          <w:rFonts w:ascii="Times New Roman" w:hAnsi="Times New Roman" w:cs="Times New Roman"/>
          <w:sz w:val="28"/>
          <w:szCs w:val="28"/>
        </w:rPr>
        <w:lastRenderedPageBreak/>
        <w:t xml:space="preserve">бета-амилоида (Aβ), уменьшение повреждения серого и белого вещества, повышение мозгового кровотока. Недавно в журнале Lancet были опубликованы данные о том, что регулярные физические упражнения могут предотвратить 300 000 случаев деменции в год во всем мире, если каждый будет физически активен [31]. ПИТАНИЕ Стратегии, связанные с питанием, сосредоточены на общем качестве диеты, а не на отдельных продуктах питания или питательных веществах. Высококачественные диеты, которые связаны с лучшей когнитивной функцией и снижением риска деменции, акцентируются на употреблении овощей, фруктов, орехов, цельных зерен и рыбы, а также минимизации употребления красного мяса, высокожирных молочных продуктов, сладостей и высокообработанных пищевых продуктов [32]. На этих принципах были построены подготовленные в 2015 г. в Нидерландах диетические рекомендации [33]. Был включен 9 701 участник Роттердамского исследования (популяционная проспективная когорта, лица в возрасте 45 лет и старше, в среднем 64,1 года (95%  – в группе 49,0–82,8)). Период наблюдения в среднем составлял 13,5 года (диапазон 0–27,0). Отмечен меньший риск смертности, инсульта, хронической обструктивной болезни легких, колоректального рака и депрессии. Для адекватного функционирования нервной ткани необходимо крайне сбалансированное поступление различных веществ. Например, с одной стороны, липиды являются основными структурными компонентами клеточных мембран нейронов. С другой стороны, холестерин может играть важную роль при БА. В частности, холестерин образует ядро амилоидных бляшек, и это обусловлено тем, что первичная роль белка – предшественника амилоида (APP)  – удаление избыточного холестерина из головного мозга. ApoE кодирует один из нескольких белков, вовлеченных в транспорт холестерина [34]. Состав диетического жира является важным фактором в функционировании гематоэнцефалического барьера. Рыба и рыбий жир являются наиболее распространенными диетическими источниками длинноцепочечных омега-3 жирных кислот из группы полиненасыщенных жиров, которые в первую очередь включают эйкозапентаеновую и докозагексаеновую кислоты. Регулярное потребление обоих этих жиров может уменьшать эндотелиаль- MEDITSINSKIY SOVET 55 Cognitive impairment 2019;(18):52–58 ную дисфункцию, уровень триглицеридов и оказывать противовоспалительное действие. Систематический обзор проспективных исследований, включавших 28 754 субъекта, при сравнении максимального и наименьшего уровня потребления рыбы выявил суммарный относительный риск для БА, равный 0,80 (95% ДИ = 0,65–0,97), т. е. люди с более высоким потреблением рыбы имели 20%-ное (95% ДИ = 3–35%) снижение риска БА [35]. Метаанализ 43 исследований, посвященных связи диетических особенностей с риском развития деменции, показал снижение риска при употреблении ненасыщенных жирных кислот (RR: 0,84, 95% ДИ: [0,74–0,95], p = 0,006), антиоксидантов (RR: 0,87, 95% ДИ: [0,77–0,98] , p = 0,026), витамина B (RR: 0,72, 95% ДИ: 0,54–0,96), p = 0,026) и средиземноморской диеты (RR: 0,69, 95% ДИ: [0,57–0,84] p &lt; 0,001). Некоторые вещества были связаны с увеличением риска деменции: например, алюминий (RR: 2,24, 95% ДИ: [1,49–3,37], p &lt; 0,001) и низкий уровень витамина D (RR: 1,52, 95% ДИ: [1,17–1,98], p = 0,002) [36]. Среди различных диетических моделей, которые были проверены на их воздействие на когнитивные </w:t>
      </w:r>
      <w:r w:rsidRPr="004F5888">
        <w:rPr>
          <w:rFonts w:ascii="Times New Roman" w:hAnsi="Times New Roman" w:cs="Times New Roman"/>
          <w:sz w:val="28"/>
          <w:szCs w:val="28"/>
        </w:rPr>
        <w:lastRenderedPageBreak/>
        <w:t xml:space="preserve">функции, традиционная средиземноморская диета показала многообещающие результаты. Средиземноморская диета включает: 1) высокое содержание мононенасыщенных/насыщенных жиров (использование оливкового масла в качестве основного ингредиента для приготовления пищи); 2) высокое потребление фруктов/овощей; 3) высокое потребление бобовых; 4) высокий уровень потребления зерновых культур; 5) умеренное потребление красного вина; 6) умеренное потребление молочных продуктов и 7) низкий уровень потребления мяса и мясных продуктов (заменяется увеличением потребления рыбы) [37]. Средиземноморская диета имеет особенности, отличающие ее от других рационов питания. Во-первых, эта диета богата антиоксидантами с защитным эффектом против когнитивного спада. Во-вторых, средиземноморская диета включает в себя высокий уровень потребления рыбы и оливкового масла, богатых омега-3 жирными кислотами, которые оказывают противовоспалительное действие. Высокое содержание клетчатки в овощах и фруктах также оказывает противовоспалительное действие. Наконец, у красного вина – аналогичный эффект: уменьшение уровня С-реактивного белка и интерлейкинов [38]. Средиземноморская диета может использоваться в качестве альтернативного профилактического лечения деменции [39–41]. Cистематический анализ 32 исследований из 25 уникальных когорт, включая 5 рандомизированных клинических и 27 наблюдательных, показал, что средиземноморская диета ассоциировалась с улучшенной когнитивной функцией, уменьшением риска развития когнитивных нарушений или деменции [42]. Эффективность средиземноморской диеты, возможно, объясняется включением фруктов, овощей, оливкового масла, рыбы и умеренного потребления вина, что обеспечивает наличие витаминов, полифенолов и ненасыщенных жирных кислот. Эта диета уменьшает окислительный стресс, приводит к более низкой экспрессии и снижению продуцирования провоспалительных цитокинов [43]. Диета, особенно в сочетании с физической активностью, способна оказывать модулирующее действие на некоторые процессы нейропластичности [44]. СОН Огромную роль в поддержании существования любого живого организма играют биологические ритмы. Под этим понимают определенные ритмические изменения всех физиологических процессов в организме. Одним из важнейших является 24-часовой суточный ритм. Одним из факторов риска, которому сейчас придается большое значение, является сон. Нарушения сна неразрывно связаны с когнитивными расстройствами. Достаточно только вспомнить о сопряженности процессов долговременной памяти и медленно-волнового сна [45]. Уникальным является исследование The Uppsala Longitudinal Study of Adult Men (ULSAM), которое было инициировано в 1970 г. в Уппсале (Швеция) [46]. Все 50-летние мужчины были включены в исследование, их повторно осматривали в возрасте 60, 70, 77, 82 и 88 лет. Были проанализированы данные 1 574 участников. Логистическая регрессия показала, что наибольший риск развития деменции отмечен только у мужчин, сообщавших о нарушениях сна в возрасте 70 лет (OR 2,14 [95% CI – 1,42, 3,21]). Нарушения сна провоцируют развитие сердечнососудистой патологии. Популяционное исследование 20 432 человек в возрасте 20–65 лет подтвердило такое влияние [47]. При анализе данных когорты из более чем 200 тыс. человек было показано, что сон менее 6 и более 9 часов является фактором риска сахарного диабета, </w:t>
      </w:r>
      <w:r w:rsidRPr="004F5888">
        <w:rPr>
          <w:rFonts w:ascii="Times New Roman" w:hAnsi="Times New Roman" w:cs="Times New Roman"/>
          <w:sz w:val="28"/>
          <w:szCs w:val="28"/>
        </w:rPr>
        <w:lastRenderedPageBreak/>
        <w:t xml:space="preserve">инсульта, артериальной гипертензии и ишемической болезни сердца [48]. Негативное влияние нарушений сна на когнитивные функции касается все аспектов этой патологии. Метаанализ обсервационных исследований, опубликованных в PubMed, EMBASE, включивший 53 942 участника (средний возраст 66,9 года), показал, что при большей продолжительности сна относительный риск когнитивного снижения составлял 1,42 (95% ДИ 1,27–1,59) (для УКР 1,38 (95% ДИ 1,23–1,56) и для деменции 1,42 (95% ДИ 1,15–1,77)) [49]. Изменение структуры ночного сна также имеет большое значение. В рамках Фрамингемского исследования были прослежены ассоциации между структурой сна и предполагаемым риском развития деменции [50]. Была обследована подгруппа из 321 участника, которые участвовали в the Sleep Heart Health Study в период с 1995 по 1998 г. и были старше 60 лет во время оценки сна (средний возраст 67 ± 5 лет, 50% мужчин). Обследование сна выполнялось с использованием домашней полисомнографии. Участников наблюдали в течение 19 лет (среднее наблюдение 12 ± 5 лет). После корректировки по возрасту и полу более низкий процент REM-сна и более длительная латентность REM-сна были связаны с более высоким риском развития деменции. Каждое процентное 56 МЕДИЦИНСКИЙ СОВЕТ Когнитивные расстройства 2019;(18):52–58 снижение REM-сна было связано с приблизительно 9%-ным увеличением риска развития деменции (коэффициент риска 0,91, 95% CI 0,86, 0,97). Это может быть основанием для рассмотрения состояния REM-сна как предиктора клинической деменции. Нарушения сна приводят к изменению обмена амилоида, препятствуя клиренсу Aβ, увеличивая синаптическую активность и способствуя накоплению Aβ, а также ухудшая реакцию эндоплазматического ретикулума на клеточный стресс, приводящий к накоплению Aβ [51]. Следует помнить, что нарушения сна являются проявлением дисбаланса в системе гипокретинов, которые могут играть определенную роль в регуляции уровня Aβ. Вероятно, именно с этими механизмами связано то, что нарушения сна рассматриваются в основном как предикторы развития БА, но не сосудистой деменции. Это было показано в систематическом обзоре Shi L. и соавт., основанном на анализе данных 246 786 пациентов [52]. Результаты крупного метаанализа, включавшего 27 обсервационных исследований и 69 216 наблюдений, продемонстрировали, что относительный риск развития БА у лиц с нарушениями сна увеличивался в 1,55 раза. Считается, что около 15% случаев БА в популяции могут быть связаны с расстройствами сна [53]. ЛЕКАРСТВЕННАЯ ПРОФИЛАКТИКА ДЕМЕНЦИИ Вместе с тем, наряду с борьбой с факторами риска, сейчас все большее внимание уделяется возможностям медикаментозной профилактики развития деменции. Особая роль в развитии повреждения нервной ткани, а также когнитивного дефицита отводится глутаматергической системе [54]. Препаратом, воздействующим на эту систему, является обратимый блокатор NMDA-рецепторов мемантин (Акатинол). Основными патогенетическими механизмами развития БА считается отложение внеклеточного Aβ с формированием бляшек и агрегация тау-протеина во внутриклеточные нейрофибриллярные клубки. Aβ преимущественно продуцируется при расщеплении β- и g-секретазой белка – предшественника амилоида (APP). Агрегация Aβ во внеклеточные бляшки во многом зависит от его концентрации. Результаты проведенных исследований показывают, что прием Акатинола снижает </w:t>
      </w:r>
      <w:r w:rsidRPr="004F5888">
        <w:rPr>
          <w:rFonts w:ascii="Times New Roman" w:hAnsi="Times New Roman" w:cs="Times New Roman"/>
          <w:sz w:val="28"/>
          <w:szCs w:val="28"/>
        </w:rPr>
        <w:lastRenderedPageBreak/>
        <w:t xml:space="preserve">уровни Aβ как в моделях AD, так и у пожилых животных и влияет на путь эндоцитоза APP, который необходим для опосредованного β-секретазой расщепления [55]. Таким образом, можно сказать, что Акатинол уменьшает образование Aβ и сенильных бляшек посредством регулирования внутриклеточного обмена APP. Отмечается уменьшение образования Aβ, ингибирование продукции Aβ посредством регулирования внутриклеточной транскрипции APP. Также следует отметить ингибирование агрегации Aβ, снижение уровня нерастворимого Aβ и ускорение деградации Aβ. Эти данные подтверждают нейропротективный эффект Акатинола. Один из ключевых патологических механизмов БА состоит в том, что клетки мозга повторно входят в клеточный цикл (начинают делиться)  – возможно, чтобы компенсировать гибель других нейронов, – и при этом погибают. Деление полностью сформированных клеток головного мозга – аномалия, не характерная для здорового мозга, а при БА до 90% гибели нейронов связаны с попыткой аномального деления. Запуск патологического цикла деления клеток, ведущего к их разрушению, происходит под воздействием молекул Aβ на нейроны на самых ранних стадиях БА и связан с усилением тока кальция через NMDA-рецепторы. В эксперименте Акатинол предотвращал запуск повторного клеточного цикла, блокируя NMDA-рецепторы на поверхности нейронов. Эти результаты позволяют предположить болезнь-модифицирующий эффект Акатинола при условии его назначения задолго до появления первых симптомов и даже до формирования амилоидных бляшек – на стадии первичного воздействия Aβ на клетки головного мозга [56]. Показано положительное влияние Акатинола на сосудистый компонент развития деменций. Исследования влияния Акатинола на микрососудистую эндотелиальную дисфункцию головного мозга человека, вызванную провоспалительным фактором некроза опухолей цитокинов-α (TNF-α), показали, что Акатинол предотвращает адгезию моноцитарных клеток, проявляя противовоспалительный механизм, обусловленный эндотелиальными клеточноопосредованными нейропротективными эффектами Акатинола [57]. Акатинол также оказывает дополнительное нейропротекторное действие за счет снижения липополисахарид-индуцированного воспаления, гиперфосфорилирования тау-протеина и антиапоптотического эффекта (снижение экспрессии каспаз). Экспериментальным подтверждением болезнь-модифицирующего эффекта Акатинола стало исследование на трансгенных мышах, показавшее выраженную редукцию амилоида и тау-фосфорилирования, улучшение когнитивных функций [58]. Клинические исследования также подтвердили роль Акатинола в первичной профилактике деменций. Известно, что пациенты с амнестическим типом УКР имеют в 3–5 раз более высокий риск развития БА. Лечение мемантином этих больных значительно уменьшило выраженность симптомов УКР. Множественный линейный регрессионный анализ показал, что исходно семантическая память была достоверно связана с перфузией в правой нижней височной области по данным SPECT. Через 48 недель терапии было отмечено статистически достоверное увеличение перфузии в этой области [59]. Метаанализ 35 исследований 9 820 больных БА преследовал цель выявить наиболее оптимальное средство для лечения БА [60]. Полученные данные наглядно продемонстрировали, что Акатинол достоверно эффективнее других лекарственных средств при оценке по </w:t>
      </w:r>
      <w:r w:rsidRPr="004F5888">
        <w:rPr>
          <w:rFonts w:ascii="Times New Roman" w:hAnsi="Times New Roman" w:cs="Times New Roman"/>
          <w:sz w:val="28"/>
          <w:szCs w:val="28"/>
        </w:rPr>
        <w:lastRenderedPageBreak/>
        <w:t>краткой шкале оценки психических функций (MMSE), что подтверждает его болезнь-модифицирующий эффект. MEDITSINSKIY SOVET 57 Cognitive impairment 2019;(18):52–58 Для оценки эффективности применения Акатинола и ингибиторов холинэстеразы у больных сосудистой деменцией было проанализировано 12 рандомизированных плацебо-контролируемых исследований, всего 25 928 человек. Изучение данных шкалы ADAS-cog показало, что прием Акатинола ассоциировался со значительно большим улучшением по сравнению с плацебо. Также только Акатинол 20 мг показал улучшение оценки CIBIC+, которое было статистически выше, чем плацебо (OR = 2,71, 95% CI: 1,05—7,29) [61]. Очень важно, что при сосудистой деменции Акатинол был единственным препаратом, оцененным как более безопасный, чем плацебо. ЗАКЛЮЧЕНИЕ Таким образом, профилактика развития когнитивных функций и деменции является крайне актуальной задачей, и одним из важнейших подходов может быть соблюдение здорового образа жизни. Выраженное нейропротективное действие Акатинола позволяет рассматривать его как возможное профилактическое средство при деменции.</w:t>
      </w:r>
      <w:r w:rsidRPr="004F5888">
        <w:rPr>
          <w:rFonts w:ascii="Times New Roman" w:hAnsi="Times New Roman" w:cs="Times New Roman"/>
          <w:sz w:val="28"/>
          <w:szCs w:val="28"/>
          <w:vertAlign w:val="superscript"/>
        </w:rPr>
        <w:t>29</w:t>
      </w:r>
    </w:p>
    <w:p w14:paraId="775FDFB5" w14:textId="77777777" w:rsidR="00875E84" w:rsidRPr="00AC352A" w:rsidRDefault="00875E84" w:rsidP="00875E84">
      <w:pPr>
        <w:spacing w:before="240" w:line="240" w:lineRule="auto"/>
        <w:rPr>
          <w:rStyle w:val="a9"/>
          <w:rFonts w:ascii="Times New Roman" w:hAnsi="Times New Roman" w:cs="Times New Roman"/>
          <w:color w:val="000000" w:themeColor="text1"/>
          <w:sz w:val="24"/>
          <w:szCs w:val="24"/>
        </w:rPr>
      </w:pPr>
    </w:p>
    <w:p w14:paraId="6351CAF8" w14:textId="77777777" w:rsidR="00875E84" w:rsidRPr="00AC352A" w:rsidRDefault="00875E84" w:rsidP="00BD1496">
      <w:pPr>
        <w:jc w:val="both"/>
        <w:rPr>
          <w:rFonts w:ascii="Times New Roman" w:hAnsi="Times New Roman" w:cs="Times New Roman"/>
          <w:sz w:val="24"/>
          <w:szCs w:val="24"/>
        </w:rPr>
      </w:pPr>
    </w:p>
    <w:p w14:paraId="6A3FBB78" w14:textId="77777777" w:rsidR="00875E84" w:rsidRPr="00AC352A" w:rsidRDefault="00875E84" w:rsidP="009E2E90">
      <w:pPr>
        <w:spacing w:line="240" w:lineRule="auto"/>
        <w:jc w:val="both"/>
        <w:rPr>
          <w:rFonts w:ascii="Times New Roman" w:hAnsi="Times New Roman" w:cs="Times New Roman"/>
          <w:sz w:val="24"/>
          <w:szCs w:val="24"/>
        </w:rPr>
      </w:pPr>
    </w:p>
    <w:p w14:paraId="7C408B5D" w14:textId="49C538CD" w:rsidR="00DC7707" w:rsidRPr="00AC352A" w:rsidRDefault="00DC7707" w:rsidP="00DC7707">
      <w:pPr>
        <w:spacing w:line="240" w:lineRule="auto"/>
        <w:jc w:val="both"/>
        <w:rPr>
          <w:rFonts w:ascii="Times New Roman" w:hAnsi="Times New Roman" w:cs="Times New Roman"/>
          <w:sz w:val="24"/>
          <w:szCs w:val="24"/>
        </w:rPr>
      </w:pPr>
    </w:p>
    <w:p w14:paraId="2E20F2B4" w14:textId="410BC240" w:rsidR="00BD1496" w:rsidRPr="00AC352A" w:rsidRDefault="00BD1496" w:rsidP="00DC7707">
      <w:pPr>
        <w:spacing w:line="240" w:lineRule="auto"/>
        <w:jc w:val="both"/>
        <w:rPr>
          <w:rFonts w:ascii="Times New Roman" w:hAnsi="Times New Roman" w:cs="Times New Roman"/>
          <w:sz w:val="24"/>
          <w:szCs w:val="24"/>
        </w:rPr>
      </w:pPr>
    </w:p>
    <w:p w14:paraId="7B27E970" w14:textId="453365DF" w:rsidR="00BD1496" w:rsidRPr="00AC352A" w:rsidRDefault="00BD1496" w:rsidP="00DC7707">
      <w:pPr>
        <w:spacing w:line="240" w:lineRule="auto"/>
        <w:jc w:val="both"/>
        <w:rPr>
          <w:rFonts w:ascii="Times New Roman" w:hAnsi="Times New Roman" w:cs="Times New Roman"/>
          <w:sz w:val="24"/>
          <w:szCs w:val="24"/>
        </w:rPr>
      </w:pPr>
    </w:p>
    <w:p w14:paraId="5FD80356" w14:textId="7D04E696" w:rsidR="00BD1496" w:rsidRPr="00AC352A" w:rsidRDefault="00BD1496" w:rsidP="00DC7707">
      <w:pPr>
        <w:spacing w:line="240" w:lineRule="auto"/>
        <w:jc w:val="both"/>
        <w:rPr>
          <w:rFonts w:ascii="Times New Roman" w:hAnsi="Times New Roman" w:cs="Times New Roman"/>
          <w:sz w:val="24"/>
          <w:szCs w:val="24"/>
        </w:rPr>
      </w:pPr>
    </w:p>
    <w:p w14:paraId="400EFB5C" w14:textId="19CDBD6F" w:rsidR="00BD1496" w:rsidRPr="00AC352A" w:rsidRDefault="00BD1496" w:rsidP="00DC7707">
      <w:pPr>
        <w:spacing w:line="240" w:lineRule="auto"/>
        <w:jc w:val="both"/>
        <w:rPr>
          <w:rFonts w:ascii="Times New Roman" w:hAnsi="Times New Roman" w:cs="Times New Roman"/>
          <w:sz w:val="24"/>
          <w:szCs w:val="24"/>
        </w:rPr>
      </w:pPr>
    </w:p>
    <w:p w14:paraId="04E909F8" w14:textId="7B301CDF" w:rsidR="00BD1496" w:rsidRPr="00AC352A" w:rsidRDefault="00BD1496" w:rsidP="00DC7707">
      <w:pPr>
        <w:spacing w:line="240" w:lineRule="auto"/>
        <w:jc w:val="both"/>
        <w:rPr>
          <w:rFonts w:ascii="Times New Roman" w:hAnsi="Times New Roman" w:cs="Times New Roman"/>
          <w:sz w:val="24"/>
          <w:szCs w:val="24"/>
        </w:rPr>
      </w:pPr>
    </w:p>
    <w:p w14:paraId="7FD09689" w14:textId="002C0BF8" w:rsidR="00BD1496" w:rsidRPr="00AC352A" w:rsidRDefault="00BD1496" w:rsidP="00DC7707">
      <w:pPr>
        <w:spacing w:line="240" w:lineRule="auto"/>
        <w:jc w:val="both"/>
        <w:rPr>
          <w:rFonts w:ascii="Times New Roman" w:hAnsi="Times New Roman" w:cs="Times New Roman"/>
          <w:sz w:val="24"/>
          <w:szCs w:val="24"/>
        </w:rPr>
      </w:pPr>
    </w:p>
    <w:p w14:paraId="34D3E8DC" w14:textId="40990981" w:rsidR="00BD1496" w:rsidRPr="00AC352A" w:rsidRDefault="00BD1496" w:rsidP="00DC7707">
      <w:pPr>
        <w:spacing w:line="240" w:lineRule="auto"/>
        <w:jc w:val="both"/>
        <w:rPr>
          <w:rFonts w:ascii="Times New Roman" w:hAnsi="Times New Roman" w:cs="Times New Roman"/>
          <w:sz w:val="24"/>
          <w:szCs w:val="24"/>
        </w:rPr>
      </w:pPr>
    </w:p>
    <w:p w14:paraId="666A65A5" w14:textId="0396197E" w:rsidR="00BD1496" w:rsidRPr="00AC352A" w:rsidRDefault="00BD1496" w:rsidP="00DC7707">
      <w:pPr>
        <w:spacing w:line="240" w:lineRule="auto"/>
        <w:jc w:val="both"/>
        <w:rPr>
          <w:rFonts w:ascii="Times New Roman" w:hAnsi="Times New Roman" w:cs="Times New Roman"/>
          <w:sz w:val="24"/>
          <w:szCs w:val="24"/>
        </w:rPr>
      </w:pPr>
    </w:p>
    <w:p w14:paraId="65F738CA" w14:textId="461D5AE7" w:rsidR="00BD1496" w:rsidRPr="00AC352A" w:rsidRDefault="00BD1496" w:rsidP="00DC7707">
      <w:pPr>
        <w:spacing w:line="240" w:lineRule="auto"/>
        <w:jc w:val="both"/>
        <w:rPr>
          <w:rFonts w:ascii="Times New Roman" w:hAnsi="Times New Roman" w:cs="Times New Roman"/>
          <w:sz w:val="24"/>
          <w:szCs w:val="24"/>
        </w:rPr>
      </w:pPr>
    </w:p>
    <w:p w14:paraId="6F353299" w14:textId="77777777" w:rsidR="00BD1496" w:rsidRPr="00AC352A" w:rsidRDefault="00BD1496" w:rsidP="00DC7707">
      <w:pPr>
        <w:spacing w:line="240" w:lineRule="auto"/>
        <w:jc w:val="both"/>
        <w:rPr>
          <w:rFonts w:ascii="Times New Roman" w:hAnsi="Times New Roman" w:cs="Times New Roman"/>
          <w:sz w:val="24"/>
          <w:szCs w:val="24"/>
        </w:rPr>
      </w:pPr>
    </w:p>
    <w:p w14:paraId="7D5A2305" w14:textId="77777777" w:rsidR="003A605E" w:rsidRPr="00AC352A" w:rsidRDefault="003A605E" w:rsidP="003A605E">
      <w:pPr>
        <w:rPr>
          <w:rFonts w:ascii="Times New Roman" w:hAnsi="Times New Roman" w:cs="Times New Roman"/>
          <w:b/>
          <w:sz w:val="24"/>
          <w:szCs w:val="24"/>
        </w:rPr>
      </w:pPr>
    </w:p>
    <w:p w14:paraId="4768D7DC" w14:textId="17B37B17" w:rsidR="0086574C" w:rsidRDefault="0086574C" w:rsidP="003A605E">
      <w:pPr>
        <w:rPr>
          <w:rFonts w:ascii="Times New Roman" w:hAnsi="Times New Roman" w:cs="Times New Roman"/>
          <w:b/>
          <w:sz w:val="24"/>
          <w:szCs w:val="24"/>
        </w:rPr>
      </w:pPr>
    </w:p>
    <w:p w14:paraId="2A3C96DD" w14:textId="77777777" w:rsidR="0086574C" w:rsidRPr="00AC352A" w:rsidRDefault="0086574C" w:rsidP="003A605E">
      <w:pPr>
        <w:rPr>
          <w:rFonts w:ascii="Times New Roman" w:hAnsi="Times New Roman" w:cs="Times New Roman"/>
          <w:b/>
          <w:sz w:val="24"/>
          <w:szCs w:val="24"/>
        </w:rPr>
      </w:pPr>
    </w:p>
    <w:p w14:paraId="717475BF" w14:textId="0BCF20BF" w:rsidR="0086574C" w:rsidRPr="007A3B85" w:rsidRDefault="0086574C" w:rsidP="0086574C">
      <w:pPr>
        <w:ind w:firstLine="708"/>
        <w:jc w:val="both"/>
        <w:rPr>
          <w:rFonts w:ascii="Times New Roman" w:hAnsi="Times New Roman" w:cs="Times New Roman"/>
          <w:b/>
          <w:color w:val="000000"/>
          <w:sz w:val="28"/>
          <w:szCs w:val="28"/>
        </w:rPr>
      </w:pPr>
      <w:r w:rsidRPr="007A3B85">
        <w:rPr>
          <w:rFonts w:ascii="Times New Roman" w:eastAsia="Times New Roman" w:hAnsi="Times New Roman" w:cs="Times New Roman"/>
          <w:b/>
          <w:color w:val="000000" w:themeColor="text1"/>
          <w:sz w:val="28"/>
          <w:szCs w:val="28"/>
        </w:rPr>
        <w:t>ГЛАВА 2. СОЦИОЛОГИЧЕСКОЕ ИССЛЕДОВАНИЕ ОЦЕНКА КОГНИТИВНЫХ ФУНКЦИЙ  НАСЕЛЕНИЯ ГОРОДА СТАРШЕ 40 ЛЕТ КАРАГАНДЫ</w:t>
      </w:r>
    </w:p>
    <w:p w14:paraId="1BD61BF2" w14:textId="114973D9" w:rsidR="0086574C" w:rsidRPr="007A3B85" w:rsidRDefault="0086574C" w:rsidP="0086574C">
      <w:pPr>
        <w:ind w:firstLine="708"/>
        <w:jc w:val="both"/>
        <w:rPr>
          <w:rFonts w:ascii="Times New Roman" w:eastAsia="MS Mincho" w:hAnsi="Times New Roman" w:cs="Times New Roman"/>
          <w:sz w:val="28"/>
          <w:szCs w:val="28"/>
        </w:rPr>
      </w:pPr>
      <w:r w:rsidRPr="007A3B85">
        <w:rPr>
          <w:rFonts w:ascii="Times New Roman" w:eastAsia="MS Mincho" w:hAnsi="Times New Roman" w:cs="Times New Roman"/>
          <w:sz w:val="28"/>
          <w:szCs w:val="28"/>
        </w:rPr>
        <w:lastRenderedPageBreak/>
        <w:t xml:space="preserve">Проведено анкетирование взрослого населения города Караганды. Критерий включения: люди от сорока лет и старше. Критерий исключения: люди младше сорока  лет. Анкета анонимная, </w:t>
      </w:r>
      <w:r w:rsidRPr="007A3B85">
        <w:rPr>
          <w:rFonts w:ascii="Times New Roman" w:hAnsi="Times New Roman" w:cs="Times New Roman"/>
          <w:color w:val="202124"/>
          <w:sz w:val="28"/>
          <w:szCs w:val="28"/>
          <w:shd w:val="clear" w:color="auto" w:fill="FFFFFF"/>
        </w:rPr>
        <w:t>Montreal Cognitive Assessment</w:t>
      </w:r>
      <w:r w:rsidRPr="007A3B85">
        <w:rPr>
          <w:rFonts w:ascii="Times New Roman" w:eastAsia="MS Mincho" w:hAnsi="Times New Roman" w:cs="Times New Roman"/>
          <w:sz w:val="28"/>
          <w:szCs w:val="28"/>
        </w:rPr>
        <w:t xml:space="preserve"> </w:t>
      </w:r>
      <w:r w:rsidRPr="007A3B85">
        <w:rPr>
          <w:rFonts w:ascii="Times New Roman" w:hAnsi="Times New Roman" w:cs="Times New Roman"/>
          <w:color w:val="202124"/>
          <w:sz w:val="28"/>
          <w:szCs w:val="28"/>
          <w:shd w:val="clear" w:color="auto" w:fill="FFFFFF"/>
        </w:rPr>
        <w:t>широко использующийся скрининг </w:t>
      </w:r>
      <w:r w:rsidRPr="007A3B85">
        <w:rPr>
          <w:rFonts w:ascii="Times New Roman" w:hAnsi="Times New Roman" w:cs="Times New Roman"/>
          <w:b/>
          <w:bCs/>
          <w:color w:val="202124"/>
          <w:sz w:val="28"/>
          <w:szCs w:val="28"/>
          <w:shd w:val="clear" w:color="auto" w:fill="FFFFFF"/>
        </w:rPr>
        <w:t>когнитивных</w:t>
      </w:r>
      <w:r w:rsidRPr="007A3B85">
        <w:rPr>
          <w:rFonts w:ascii="Times New Roman" w:hAnsi="Times New Roman" w:cs="Times New Roman"/>
          <w:color w:val="202124"/>
          <w:sz w:val="28"/>
          <w:szCs w:val="28"/>
          <w:shd w:val="clear" w:color="auto" w:fill="FFFFFF"/>
        </w:rPr>
        <w:t> нарушений, созданный в 1996 году Зиадом Насреддином в Монреале, Квебек. Валидация </w:t>
      </w:r>
      <w:r w:rsidRPr="007A3B85">
        <w:rPr>
          <w:rFonts w:ascii="Times New Roman" w:hAnsi="Times New Roman" w:cs="Times New Roman"/>
          <w:b/>
          <w:bCs/>
          <w:color w:val="202124"/>
          <w:sz w:val="28"/>
          <w:szCs w:val="28"/>
          <w:shd w:val="clear" w:color="auto" w:fill="FFFFFF"/>
        </w:rPr>
        <w:t>шкалы</w:t>
      </w:r>
      <w:r w:rsidRPr="007A3B85">
        <w:rPr>
          <w:rFonts w:ascii="Times New Roman" w:hAnsi="Times New Roman" w:cs="Times New Roman"/>
          <w:color w:val="202124"/>
          <w:sz w:val="28"/>
          <w:szCs w:val="28"/>
          <w:shd w:val="clear" w:color="auto" w:fill="FFFFFF"/>
        </w:rPr>
        <w:t> была выполнена в условиях умеренных </w:t>
      </w:r>
      <w:r w:rsidRPr="007A3B85">
        <w:rPr>
          <w:rFonts w:ascii="Times New Roman" w:hAnsi="Times New Roman" w:cs="Times New Roman"/>
          <w:b/>
          <w:bCs/>
          <w:color w:val="202124"/>
          <w:sz w:val="28"/>
          <w:szCs w:val="28"/>
          <w:shd w:val="clear" w:color="auto" w:fill="FFFFFF"/>
        </w:rPr>
        <w:t>когнитивных</w:t>
      </w:r>
      <w:r w:rsidRPr="007A3B85">
        <w:rPr>
          <w:rFonts w:ascii="Times New Roman" w:hAnsi="Times New Roman" w:cs="Times New Roman"/>
          <w:color w:val="202124"/>
          <w:sz w:val="28"/>
          <w:szCs w:val="28"/>
          <w:shd w:val="clear" w:color="auto" w:fill="FFFFFF"/>
        </w:rPr>
        <w:t> нарушений, впоследствии </w:t>
      </w:r>
      <w:r w:rsidRPr="007A3B85">
        <w:rPr>
          <w:rFonts w:ascii="Times New Roman" w:hAnsi="Times New Roman" w:cs="Times New Roman"/>
          <w:b/>
          <w:bCs/>
          <w:color w:val="202124"/>
          <w:sz w:val="28"/>
          <w:szCs w:val="28"/>
          <w:shd w:val="clear" w:color="auto" w:fill="FFFFFF"/>
        </w:rPr>
        <w:t>шкала</w:t>
      </w:r>
      <w:r w:rsidRPr="007A3B85">
        <w:rPr>
          <w:rFonts w:ascii="Times New Roman" w:hAnsi="Times New Roman" w:cs="Times New Roman"/>
          <w:color w:val="202124"/>
          <w:sz w:val="28"/>
          <w:szCs w:val="28"/>
          <w:shd w:val="clear" w:color="auto" w:fill="FFFFFF"/>
        </w:rPr>
        <w:t> стала использова</w:t>
      </w:r>
      <w:r w:rsidR="00323D6C" w:rsidRPr="007A3B85">
        <w:rPr>
          <w:rFonts w:ascii="Times New Roman" w:hAnsi="Times New Roman" w:cs="Times New Roman"/>
          <w:color w:val="202124"/>
          <w:sz w:val="28"/>
          <w:szCs w:val="28"/>
          <w:shd w:val="clear" w:color="auto" w:fill="FFFFFF"/>
        </w:rPr>
        <w:t>ться в других клинических целях</w:t>
      </w:r>
      <w:r w:rsidR="00323D6C" w:rsidRPr="007A3B85">
        <w:rPr>
          <w:rFonts w:ascii="Times New Roman" w:eastAsia="MS Mincho" w:hAnsi="Times New Roman" w:cs="Times New Roman"/>
          <w:sz w:val="28"/>
          <w:szCs w:val="28"/>
        </w:rPr>
        <w:t xml:space="preserve">, одобрена профессором школы  общественного здоровья и биомедицины </w:t>
      </w:r>
      <w:r w:rsidRPr="007A3B85">
        <w:rPr>
          <w:rFonts w:ascii="Times New Roman" w:eastAsia="MS Mincho" w:hAnsi="Times New Roman" w:cs="Times New Roman"/>
          <w:sz w:val="28"/>
          <w:szCs w:val="28"/>
        </w:rPr>
        <w:t>НАО МУК.</w:t>
      </w:r>
    </w:p>
    <w:p w14:paraId="3CFFA4C2" w14:textId="77777777" w:rsidR="00F557C7" w:rsidRPr="007A3B85" w:rsidRDefault="0086574C" w:rsidP="005611A2">
      <w:pPr>
        <w:numPr>
          <w:ilvl w:val="0"/>
          <w:numId w:val="6"/>
        </w:numPr>
        <w:rPr>
          <w:rFonts w:ascii="Times New Roman" w:eastAsia="MS Mincho" w:hAnsi="Times New Roman" w:cs="Times New Roman"/>
          <w:sz w:val="28"/>
          <w:szCs w:val="28"/>
          <w:lang w:val="en-US"/>
        </w:rPr>
      </w:pPr>
      <w:r w:rsidRPr="007A3B85">
        <w:rPr>
          <w:rFonts w:ascii="Times New Roman" w:eastAsia="MS Mincho" w:hAnsi="Times New Roman" w:cs="Times New Roman"/>
          <w:sz w:val="28"/>
          <w:szCs w:val="28"/>
        </w:rPr>
        <w:t>Анкета содержит 7 блоков, каждый из которого оценивает когнитивные навыки. Максимальное количество баллов:30.</w:t>
      </w:r>
      <w:r w:rsidR="00323D6C" w:rsidRPr="007A3B85">
        <w:rPr>
          <w:rFonts w:ascii="Times New Roman" w:eastAsia="MS Mincho" w:hAnsi="Times New Roman" w:cs="Times New Roman"/>
          <w:sz w:val="28"/>
          <w:szCs w:val="28"/>
        </w:rPr>
        <w:t xml:space="preserve"> </w:t>
      </w:r>
      <w:proofErr w:type="spellStart"/>
      <w:r w:rsidR="00A22A4D" w:rsidRPr="007A3B85">
        <w:rPr>
          <w:rFonts w:ascii="Times New Roman" w:hAnsi="Times New Roman" w:cs="Times New Roman"/>
          <w:sz w:val="28"/>
          <w:szCs w:val="28"/>
          <w:lang w:val="en-US"/>
        </w:rPr>
        <w:t>Количество</w:t>
      </w:r>
      <w:proofErr w:type="spellEnd"/>
      <w:r w:rsidR="00A22A4D" w:rsidRPr="007A3B85">
        <w:rPr>
          <w:rFonts w:ascii="Times New Roman" w:hAnsi="Times New Roman" w:cs="Times New Roman"/>
          <w:sz w:val="28"/>
          <w:szCs w:val="28"/>
          <w:lang w:val="en-US"/>
        </w:rPr>
        <w:t xml:space="preserve"> </w:t>
      </w:r>
      <w:proofErr w:type="spellStart"/>
      <w:r w:rsidR="00A22A4D" w:rsidRPr="007A3B85">
        <w:rPr>
          <w:rFonts w:ascii="Times New Roman" w:hAnsi="Times New Roman" w:cs="Times New Roman"/>
          <w:sz w:val="28"/>
          <w:szCs w:val="28"/>
          <w:lang w:val="en-US"/>
        </w:rPr>
        <w:t>респондентов</w:t>
      </w:r>
      <w:proofErr w:type="spellEnd"/>
      <w:r w:rsidR="00A22A4D" w:rsidRPr="007A3B85">
        <w:rPr>
          <w:rFonts w:ascii="Times New Roman" w:hAnsi="Times New Roman" w:cs="Times New Roman"/>
          <w:b/>
          <w:bCs/>
          <w:sz w:val="28"/>
          <w:szCs w:val="28"/>
          <w:lang w:val="en-US"/>
        </w:rPr>
        <w:t xml:space="preserve">: 107 </w:t>
      </w:r>
      <w:proofErr w:type="spellStart"/>
      <w:r w:rsidR="00A22A4D" w:rsidRPr="007A3B85">
        <w:rPr>
          <w:rFonts w:ascii="Times New Roman" w:hAnsi="Times New Roman" w:cs="Times New Roman"/>
          <w:b/>
          <w:bCs/>
          <w:sz w:val="28"/>
          <w:szCs w:val="28"/>
          <w:lang w:val="en-US"/>
        </w:rPr>
        <w:t>человек</w:t>
      </w:r>
      <w:proofErr w:type="spellEnd"/>
      <w:r w:rsidR="00A22A4D" w:rsidRPr="007A3B85">
        <w:rPr>
          <w:rFonts w:ascii="Times New Roman" w:hAnsi="Times New Roman" w:cs="Times New Roman"/>
          <w:sz w:val="28"/>
          <w:szCs w:val="28"/>
          <w:lang w:val="en-US"/>
        </w:rPr>
        <w:t>.</w:t>
      </w:r>
    </w:p>
    <w:p w14:paraId="36606CE9" w14:textId="77777777" w:rsidR="00F557C7" w:rsidRPr="007A3B85" w:rsidRDefault="00A22A4D" w:rsidP="005611A2">
      <w:pPr>
        <w:numPr>
          <w:ilvl w:val="0"/>
          <w:numId w:val="6"/>
        </w:numPr>
        <w:jc w:val="both"/>
        <w:rPr>
          <w:rFonts w:ascii="Times New Roman" w:eastAsia="MS Mincho" w:hAnsi="Times New Roman" w:cs="Times New Roman"/>
          <w:sz w:val="28"/>
          <w:szCs w:val="28"/>
        </w:rPr>
      </w:pPr>
      <w:r w:rsidRPr="007A3B85">
        <w:rPr>
          <w:rFonts w:ascii="Times New Roman" w:eastAsia="MS Mincho" w:hAnsi="Times New Roman" w:cs="Times New Roman"/>
          <w:b/>
          <w:bCs/>
          <w:sz w:val="28"/>
          <w:szCs w:val="28"/>
        </w:rPr>
        <w:t xml:space="preserve"> Выборка </w:t>
      </w:r>
      <w:r w:rsidRPr="007A3B85">
        <w:rPr>
          <w:rFonts w:ascii="Times New Roman" w:eastAsia="MS Mincho" w:hAnsi="Times New Roman" w:cs="Times New Roman"/>
          <w:sz w:val="28"/>
          <w:szCs w:val="28"/>
        </w:rPr>
        <w:t xml:space="preserve">респондентов была сформирована </w:t>
      </w:r>
      <w:r w:rsidRPr="007A3B85">
        <w:rPr>
          <w:rFonts w:ascii="Times New Roman" w:eastAsia="MS Mincho" w:hAnsi="Times New Roman" w:cs="Times New Roman"/>
          <w:b/>
          <w:bCs/>
          <w:sz w:val="28"/>
          <w:szCs w:val="28"/>
        </w:rPr>
        <w:t xml:space="preserve">случайным образом. </w:t>
      </w:r>
      <w:r w:rsidRPr="007A3B85">
        <w:rPr>
          <w:rFonts w:ascii="Times New Roman" w:eastAsia="MS Mincho" w:hAnsi="Times New Roman" w:cs="Times New Roman"/>
          <w:sz w:val="28"/>
          <w:szCs w:val="28"/>
        </w:rPr>
        <w:t xml:space="preserve">В опросе участвовали граждане, различавшиеся по уровню образования, по уровню здоровья, по семейному положению, возрасту и половой принадлежности. </w:t>
      </w:r>
    </w:p>
    <w:p w14:paraId="2C3EF698" w14:textId="77777777" w:rsidR="00F557C7" w:rsidRPr="007A3B85" w:rsidRDefault="00A22A4D" w:rsidP="005611A2">
      <w:pPr>
        <w:numPr>
          <w:ilvl w:val="0"/>
          <w:numId w:val="6"/>
        </w:numPr>
        <w:jc w:val="both"/>
        <w:rPr>
          <w:rFonts w:ascii="Times New Roman" w:eastAsia="MS Mincho" w:hAnsi="Times New Roman" w:cs="Times New Roman"/>
          <w:sz w:val="28"/>
          <w:szCs w:val="28"/>
        </w:rPr>
      </w:pPr>
      <w:r w:rsidRPr="007A3B85">
        <w:rPr>
          <w:rFonts w:ascii="Times New Roman" w:eastAsia="MS Mincho" w:hAnsi="Times New Roman" w:cs="Times New Roman"/>
          <w:b/>
          <w:bCs/>
          <w:sz w:val="28"/>
          <w:szCs w:val="28"/>
        </w:rPr>
        <w:t>База исследования</w:t>
      </w:r>
      <w:r w:rsidRPr="007A3B85">
        <w:rPr>
          <w:rFonts w:ascii="Times New Roman" w:eastAsia="MS Mincho" w:hAnsi="Times New Roman" w:cs="Times New Roman"/>
          <w:sz w:val="28"/>
          <w:szCs w:val="28"/>
        </w:rPr>
        <w:t>: общественные места г. Караганды (общественный транспорт, ТРЦ, поликлиники).</w:t>
      </w:r>
    </w:p>
    <w:p w14:paraId="55A1D915" w14:textId="4B8A3843" w:rsidR="0086574C" w:rsidRPr="007A3B85" w:rsidRDefault="0086574C" w:rsidP="0086574C">
      <w:pPr>
        <w:ind w:firstLine="708"/>
        <w:jc w:val="both"/>
        <w:rPr>
          <w:rFonts w:ascii="Times New Roman" w:eastAsia="MS Mincho" w:hAnsi="Times New Roman" w:cs="Times New Roman"/>
          <w:sz w:val="28"/>
          <w:szCs w:val="28"/>
        </w:rPr>
      </w:pPr>
      <w:r w:rsidRPr="007A3B85">
        <w:rPr>
          <w:rFonts w:ascii="Times New Roman" w:eastAsia="MS Mincho" w:hAnsi="Times New Roman" w:cs="Times New Roman"/>
          <w:sz w:val="28"/>
          <w:szCs w:val="28"/>
        </w:rPr>
        <w:t xml:space="preserve">Результаты анкетирования были проанализированы, что позволило сделать выводы о том, имеются ли среди населения ранние когнитивные отклонения и </w:t>
      </w:r>
      <w:r w:rsidRPr="004E6F5A">
        <w:rPr>
          <w:rFonts w:ascii="Times New Roman" w:eastAsia="MS Mincho" w:hAnsi="Times New Roman" w:cs="Times New Roman"/>
          <w:sz w:val="28"/>
          <w:szCs w:val="28"/>
          <w:highlight w:val="yellow"/>
        </w:rPr>
        <w:t>признаки деменции.</w:t>
      </w:r>
    </w:p>
    <w:p w14:paraId="3D11D3DE" w14:textId="3A3FF6CA" w:rsidR="0086574C" w:rsidRPr="007A3B85" w:rsidRDefault="0086574C" w:rsidP="004413EA">
      <w:pPr>
        <w:ind w:firstLine="708"/>
        <w:rPr>
          <w:rFonts w:ascii="Times New Roman" w:eastAsia="MS Mincho" w:hAnsi="Times New Roman" w:cs="Times New Roman"/>
          <w:sz w:val="28"/>
          <w:szCs w:val="28"/>
        </w:rPr>
      </w:pPr>
      <w:r w:rsidRPr="007A3B85">
        <w:rPr>
          <w:rFonts w:ascii="Times New Roman" w:eastAsia="MS Mincho" w:hAnsi="Times New Roman" w:cs="Times New Roman"/>
          <w:sz w:val="28"/>
          <w:szCs w:val="28"/>
        </w:rPr>
        <w:t>Ан</w:t>
      </w:r>
      <w:r w:rsidR="004413EA" w:rsidRPr="007A3B85">
        <w:rPr>
          <w:rFonts w:ascii="Times New Roman" w:eastAsia="MS Mincho" w:hAnsi="Times New Roman" w:cs="Times New Roman"/>
          <w:sz w:val="28"/>
          <w:szCs w:val="28"/>
        </w:rPr>
        <w:t>ализ результатов показал, что Средний балл респондентов 26,04(что соответствует норме). Что по шкале оценки когнитивных функций  соответствует  норме.49,6% опрошенных по Монреальской шкале имеют 26 баллов и выше, 25 баллов и ниже имеет 50,4% опрошенных. Это говорит о том, что у населения г.Караганды 40 лет и старше уже имеются умеренные когнитивные нарушения.</w:t>
      </w:r>
    </w:p>
    <w:p w14:paraId="6DBCA7FF" w14:textId="62306B41" w:rsidR="003A605E" w:rsidRPr="007A3B85" w:rsidRDefault="0086574C" w:rsidP="0086574C">
      <w:pPr>
        <w:rPr>
          <w:rFonts w:ascii="Times New Roman" w:hAnsi="Times New Roman" w:cs="Times New Roman"/>
          <w:b/>
          <w:sz w:val="28"/>
          <w:szCs w:val="28"/>
        </w:rPr>
      </w:pPr>
      <w:r w:rsidRPr="007A3B85">
        <w:rPr>
          <w:rFonts w:ascii="Times New Roman" w:eastAsia="MS Mincho" w:hAnsi="Times New Roman" w:cs="Times New Roman"/>
          <w:sz w:val="28"/>
          <w:szCs w:val="28"/>
        </w:rPr>
        <w:t>Возраст респонде</w:t>
      </w:r>
      <w:r w:rsidR="00962B74" w:rsidRPr="007A3B85">
        <w:rPr>
          <w:rFonts w:ascii="Times New Roman" w:eastAsia="MS Mincho" w:hAnsi="Times New Roman" w:cs="Times New Roman"/>
          <w:sz w:val="28"/>
          <w:szCs w:val="28"/>
        </w:rPr>
        <w:t xml:space="preserve">нтов был в диапазоне </w:t>
      </w:r>
      <w:r w:rsidR="003B4BB3" w:rsidRPr="007A3B85">
        <w:rPr>
          <w:rFonts w:ascii="Times New Roman" w:eastAsia="MS Mincho" w:hAnsi="Times New Roman" w:cs="Times New Roman"/>
          <w:sz w:val="28"/>
          <w:szCs w:val="28"/>
        </w:rPr>
        <w:t xml:space="preserve"> 49 </w:t>
      </w:r>
      <w:r w:rsidR="00962B74" w:rsidRPr="007A3B85">
        <w:rPr>
          <w:rFonts w:ascii="Times New Roman" w:eastAsia="MS Mincho" w:hAnsi="Times New Roman" w:cs="Times New Roman"/>
          <w:sz w:val="28"/>
          <w:szCs w:val="28"/>
        </w:rPr>
        <w:t>лет</w:t>
      </w:r>
      <w:r w:rsidR="003B4BB3" w:rsidRPr="007A3B85">
        <w:rPr>
          <w:rFonts w:ascii="Times New Roman" w:eastAsia="MS Mincho" w:hAnsi="Times New Roman" w:cs="Times New Roman"/>
          <w:sz w:val="28"/>
          <w:szCs w:val="28"/>
        </w:rPr>
        <w:t xml:space="preserve"> и старше, из них 78% - женщин, 22</w:t>
      </w:r>
      <w:r w:rsidRPr="007A3B85">
        <w:rPr>
          <w:rFonts w:ascii="Times New Roman" w:eastAsia="MS Mincho" w:hAnsi="Times New Roman" w:cs="Times New Roman"/>
          <w:sz w:val="28"/>
          <w:szCs w:val="28"/>
        </w:rPr>
        <w:t>% - мужчин. Средний возра</w:t>
      </w:r>
      <w:r w:rsidR="003B4BB3" w:rsidRPr="007A3B85">
        <w:rPr>
          <w:rFonts w:ascii="Times New Roman" w:eastAsia="MS Mincho" w:hAnsi="Times New Roman" w:cs="Times New Roman"/>
          <w:sz w:val="28"/>
          <w:szCs w:val="28"/>
        </w:rPr>
        <w:t>ст анкетируемых составил 56 лет</w:t>
      </w:r>
      <w:r w:rsidRPr="007A3B85">
        <w:rPr>
          <w:rFonts w:ascii="Times New Roman" w:eastAsia="MS Mincho" w:hAnsi="Times New Roman" w:cs="Times New Roman"/>
          <w:sz w:val="28"/>
          <w:szCs w:val="28"/>
        </w:rPr>
        <w:t xml:space="preserve">. </w:t>
      </w:r>
    </w:p>
    <w:p w14:paraId="785E6EBE" w14:textId="42EB86D0" w:rsidR="00DB210A" w:rsidRDefault="00DB210A" w:rsidP="003A605E">
      <w:pPr>
        <w:rPr>
          <w:rFonts w:ascii="Times New Roman" w:hAnsi="Times New Roman" w:cs="Times New Roman"/>
          <w:b/>
          <w:sz w:val="24"/>
          <w:szCs w:val="24"/>
        </w:rPr>
      </w:pPr>
    </w:p>
    <w:p w14:paraId="609FB4D3" w14:textId="77777777" w:rsidR="004413EA" w:rsidRPr="00DB210A" w:rsidRDefault="004413EA" w:rsidP="003A605E">
      <w:pPr>
        <w:rPr>
          <w:rFonts w:ascii="Times New Roman" w:hAnsi="Times New Roman" w:cs="Times New Roman"/>
          <w:sz w:val="24"/>
          <w:szCs w:val="24"/>
        </w:rPr>
      </w:pPr>
    </w:p>
    <w:p w14:paraId="53175F5A" w14:textId="0765EFA4" w:rsidR="00644A1A" w:rsidRPr="00AC352A" w:rsidRDefault="00644A1A" w:rsidP="00BD1496">
      <w:pPr>
        <w:jc w:val="both"/>
        <w:rPr>
          <w:rFonts w:ascii="Times New Roman" w:hAnsi="Times New Roman" w:cs="Times New Roman"/>
          <w:sz w:val="24"/>
          <w:szCs w:val="24"/>
        </w:rPr>
      </w:pPr>
    </w:p>
    <w:p w14:paraId="2A9E7D0D" w14:textId="57F29FC0" w:rsidR="003A605E" w:rsidRPr="00AC352A" w:rsidRDefault="003A605E" w:rsidP="00BD1496">
      <w:pPr>
        <w:jc w:val="both"/>
        <w:rPr>
          <w:rFonts w:ascii="Times New Roman" w:hAnsi="Times New Roman" w:cs="Times New Roman"/>
          <w:sz w:val="24"/>
          <w:szCs w:val="24"/>
        </w:rPr>
      </w:pPr>
    </w:p>
    <w:p w14:paraId="08AE0072" w14:textId="6CA72358" w:rsidR="003A605E" w:rsidRPr="00AC352A" w:rsidRDefault="003A605E" w:rsidP="00BD1496">
      <w:pPr>
        <w:jc w:val="both"/>
        <w:rPr>
          <w:rFonts w:ascii="Times New Roman" w:hAnsi="Times New Roman" w:cs="Times New Roman"/>
          <w:sz w:val="24"/>
          <w:szCs w:val="24"/>
        </w:rPr>
      </w:pPr>
    </w:p>
    <w:p w14:paraId="4E8CEB9F" w14:textId="60B87810" w:rsidR="003A605E" w:rsidRPr="00AC352A" w:rsidRDefault="003A605E" w:rsidP="00BD1496">
      <w:pPr>
        <w:jc w:val="both"/>
        <w:rPr>
          <w:rFonts w:ascii="Times New Roman" w:hAnsi="Times New Roman" w:cs="Times New Roman"/>
          <w:sz w:val="24"/>
          <w:szCs w:val="24"/>
        </w:rPr>
      </w:pPr>
    </w:p>
    <w:p w14:paraId="1FE2F4A7" w14:textId="60B7E9CB" w:rsidR="003A605E" w:rsidRPr="00AC352A" w:rsidRDefault="003A605E" w:rsidP="00BD1496">
      <w:pPr>
        <w:jc w:val="both"/>
        <w:rPr>
          <w:rFonts w:ascii="Times New Roman" w:hAnsi="Times New Roman" w:cs="Times New Roman"/>
          <w:sz w:val="24"/>
          <w:szCs w:val="24"/>
        </w:rPr>
      </w:pPr>
    </w:p>
    <w:p w14:paraId="7666C472" w14:textId="20ADC2C2" w:rsidR="00F86491" w:rsidRDefault="00F86491" w:rsidP="00962B74">
      <w:pPr>
        <w:rPr>
          <w:rStyle w:val="a9"/>
          <w:rFonts w:ascii="Times New Roman" w:hAnsi="Times New Roman" w:cs="Times New Roman"/>
          <w:b/>
          <w:color w:val="auto"/>
          <w:sz w:val="32"/>
          <w:u w:val="none"/>
        </w:rPr>
      </w:pPr>
      <w:r w:rsidRPr="00F86491">
        <w:rPr>
          <w:rFonts w:ascii="Times New Roman" w:hAnsi="Times New Roman" w:cs="Times New Roman"/>
          <w:b/>
          <w:noProof/>
          <w:sz w:val="32"/>
          <w:lang w:val="en-US"/>
        </w:rPr>
        <w:lastRenderedPageBreak/>
        <w:drawing>
          <wp:inline distT="0" distB="0" distL="0" distR="0" wp14:anchorId="13AD7177" wp14:editId="213C738F">
            <wp:extent cx="5431155" cy="2952115"/>
            <wp:effectExtent l="0" t="0" r="17145" b="6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EE74BCF" w14:textId="79C2170D" w:rsidR="00F86491" w:rsidRDefault="00F86491" w:rsidP="00F86491">
      <w:pPr>
        <w:jc w:val="center"/>
        <w:rPr>
          <w:rStyle w:val="a9"/>
          <w:rFonts w:ascii="Times New Roman" w:hAnsi="Times New Roman" w:cs="Times New Roman"/>
          <w:i/>
          <w:color w:val="auto"/>
          <w:sz w:val="32"/>
          <w:u w:val="none"/>
        </w:rPr>
      </w:pPr>
      <w:r w:rsidRPr="00F86491">
        <w:rPr>
          <w:rStyle w:val="a9"/>
          <w:rFonts w:ascii="Times New Roman" w:hAnsi="Times New Roman" w:cs="Times New Roman"/>
          <w:i/>
          <w:color w:val="auto"/>
          <w:sz w:val="32"/>
          <w:u w:val="none"/>
        </w:rPr>
        <w:t>Рисунок 8- Количество респондентов</w:t>
      </w:r>
    </w:p>
    <w:p w14:paraId="09878956" w14:textId="08A295BB" w:rsidR="00F86491" w:rsidRDefault="00F86491" w:rsidP="00F86491">
      <w:pPr>
        <w:jc w:val="center"/>
        <w:rPr>
          <w:rStyle w:val="a9"/>
          <w:rFonts w:ascii="Times New Roman" w:hAnsi="Times New Roman" w:cs="Times New Roman"/>
          <w:i/>
          <w:color w:val="auto"/>
          <w:sz w:val="32"/>
          <w:u w:val="none"/>
        </w:rPr>
      </w:pPr>
      <w:r w:rsidRPr="00F86491">
        <w:rPr>
          <w:rFonts w:ascii="Times New Roman" w:hAnsi="Times New Roman" w:cs="Times New Roman"/>
          <w:i/>
          <w:noProof/>
          <w:sz w:val="32"/>
          <w:lang w:val="en-US"/>
        </w:rPr>
        <mc:AlternateContent>
          <mc:Choice Requires="wps">
            <w:drawing>
              <wp:anchor distT="0" distB="0" distL="114300" distR="114300" simplePos="0" relativeHeight="251661312" behindDoc="0" locked="0" layoutInCell="1" allowOverlap="1" wp14:anchorId="255C8D07" wp14:editId="2D730734">
                <wp:simplePos x="0" y="0"/>
                <wp:positionH relativeFrom="page">
                  <wp:posOffset>4011826</wp:posOffset>
                </wp:positionH>
                <wp:positionV relativeFrom="paragraph">
                  <wp:posOffset>1193165</wp:posOffset>
                </wp:positionV>
                <wp:extent cx="1307465" cy="255373"/>
                <wp:effectExtent l="0" t="0" r="26035" b="11430"/>
                <wp:wrapNone/>
                <wp:docPr id="19" name="Скругленный прямоугольник 1"/>
                <wp:cNvGraphicFramePr/>
                <a:graphic xmlns:a="http://schemas.openxmlformats.org/drawingml/2006/main">
                  <a:graphicData uri="http://schemas.microsoft.com/office/word/2010/wordprocessingShape">
                    <wps:wsp>
                      <wps:cNvSpPr/>
                      <wps:spPr>
                        <a:xfrm rot="10800000" flipV="1">
                          <a:off x="0" y="0"/>
                          <a:ext cx="1307465" cy="255373"/>
                        </a:xfrm>
                        <a:prstGeom prst="roundRect">
                          <a:avLst>
                            <a:gd name="adj" fmla="val 14434"/>
                          </a:avLst>
                        </a:prstGeom>
                      </wps:spPr>
                      <wps:style>
                        <a:lnRef idx="1">
                          <a:schemeClr val="accent1"/>
                        </a:lnRef>
                        <a:fillRef idx="2">
                          <a:schemeClr val="accent1"/>
                        </a:fillRef>
                        <a:effectRef idx="1">
                          <a:schemeClr val="accent1"/>
                        </a:effectRef>
                        <a:fontRef idx="minor">
                          <a:schemeClr val="dk1"/>
                        </a:fontRef>
                      </wps:style>
                      <wps:txbx>
                        <w:txbxContent>
                          <w:p w14:paraId="4EB384E9" w14:textId="77777777" w:rsidR="00F86491" w:rsidRDefault="00F86491" w:rsidP="00F86491">
                            <w:pPr>
                              <w:pStyle w:val="aa"/>
                              <w:spacing w:before="0" w:beforeAutospacing="0" w:after="0" w:afterAutospacing="0"/>
                              <w:jc w:val="center"/>
                            </w:pPr>
                            <w:r>
                              <w:rPr>
                                <w:rFonts w:asciiTheme="minorHAnsi" w:hAnsi="Calibri" w:cstheme="minorBidi"/>
                                <w:color w:val="000000" w:themeColor="dark1"/>
                                <w:kern w:val="24"/>
                                <w:sz w:val="20"/>
                                <w:szCs w:val="20"/>
                              </w:rPr>
                              <w:t>Средний балл 26,04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5C8D07" id="Скругленный прямоугольник 1" o:spid="_x0000_s1026" style="position:absolute;left:0;text-align:left;margin-left:315.9pt;margin-top:93.95pt;width:102.95pt;height:20.1pt;rotation:180;flip:y;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94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" fillcolor="#82a0d7 [2164]" strokecolor="#4472c4 [3204]" strokeweight=".5pt">
                <v:fill color2="#678ccf [2612]" rotate="t" colors="0 #a8b7df;.5 #9aabd9;1 #879ed7" focus="100%" type="gradient">
                  <o:fill v:ext="view" type="gradientUnscaled"/>
                </v:fill>
                <v:stroke joinstyle="miter"/>
                <v:textbox>
                  <w:txbxContent>
                    <w:p w14:paraId="4EB384E9" w14:textId="77777777" w:rsidR="00F86491" w:rsidRDefault="00F86491" w:rsidP="00F86491">
                      <w:pPr>
                        <w:pStyle w:val="aa"/>
                        <w:spacing w:before="0" w:beforeAutospacing="0" w:after="0" w:afterAutospacing="0"/>
                        <w:jc w:val="center"/>
                      </w:pPr>
                      <w:r>
                        <w:rPr>
                          <w:rFonts w:asciiTheme="minorHAnsi" w:hAnsi="Calibri" w:cstheme="minorBidi"/>
                          <w:color w:val="000000" w:themeColor="dark1"/>
                          <w:kern w:val="24"/>
                          <w:sz w:val="20"/>
                          <w:szCs w:val="20"/>
                        </w:rPr>
                        <w:t>Средний балл 26,04</w:t>
                      </w:r>
                    </w:p>
                  </w:txbxContent>
                </v:textbox>
                <w10:wrap anchorx="page"/>
              </v:roundrect>
            </w:pict>
          </mc:Fallback>
        </mc:AlternateContent>
      </w:r>
      <w:r w:rsidRPr="00F86491">
        <w:rPr>
          <w:rFonts w:ascii="Times New Roman" w:hAnsi="Times New Roman" w:cs="Times New Roman"/>
          <w:i/>
          <w:noProof/>
          <w:sz w:val="32"/>
          <w:lang w:val="en-US"/>
        </w:rPr>
        <mc:AlternateContent>
          <mc:Choice Requires="wps">
            <w:drawing>
              <wp:anchor distT="0" distB="0" distL="114300" distR="114300" simplePos="0" relativeHeight="251659264" behindDoc="0" locked="0" layoutInCell="1" allowOverlap="1" wp14:anchorId="333EC5FE" wp14:editId="625990A3">
                <wp:simplePos x="0" y="0"/>
                <wp:positionH relativeFrom="column">
                  <wp:posOffset>1972156</wp:posOffset>
                </wp:positionH>
                <wp:positionV relativeFrom="paragraph">
                  <wp:posOffset>1473251</wp:posOffset>
                </wp:positionV>
                <wp:extent cx="3031507" cy="518984"/>
                <wp:effectExtent l="0" t="0" r="16510" b="14605"/>
                <wp:wrapNone/>
                <wp:docPr id="18" name="Прямоугольник 2"/>
                <wp:cNvGraphicFramePr/>
                <a:graphic xmlns:a="http://schemas.openxmlformats.org/drawingml/2006/main">
                  <a:graphicData uri="http://schemas.microsoft.com/office/word/2010/wordprocessingShape">
                    <wps:wsp>
                      <wps:cNvSpPr/>
                      <wps:spPr>
                        <a:xfrm>
                          <a:off x="0" y="0"/>
                          <a:ext cx="3031507" cy="518984"/>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7B66" id="Прямоугольник 2" o:spid="_x0000_s1026" style="position:absolute;margin-left:155.3pt;margin-top:116pt;width:238.7pt;height:4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" fillcolor="#ed7d31 [3205]" strokecolor="#823b0b [1605]" strokeweight="1pt"/>
            </w:pict>
          </mc:Fallback>
        </mc:AlternateContent>
      </w:r>
      <w:r w:rsidRPr="00F86491">
        <w:rPr>
          <w:rFonts w:ascii="Times New Roman" w:hAnsi="Times New Roman" w:cs="Times New Roman"/>
          <w:i/>
          <w:noProof/>
          <w:sz w:val="32"/>
          <w:lang w:val="en-US"/>
        </w:rPr>
        <w:drawing>
          <wp:inline distT="0" distB="0" distL="0" distR="0" wp14:anchorId="634161C7" wp14:editId="3C3F92E3">
            <wp:extent cx="6480175" cy="3811905"/>
            <wp:effectExtent l="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56"/>
                    <a:srcRect t="5854" r="1959"/>
                    <a:stretch/>
                  </pic:blipFill>
                  <pic:spPr>
                    <a:xfrm>
                      <a:off x="0" y="0"/>
                      <a:ext cx="6480175" cy="3811905"/>
                    </a:xfrm>
                    <a:prstGeom prst="rect">
                      <a:avLst/>
                    </a:prstGeom>
                  </pic:spPr>
                </pic:pic>
              </a:graphicData>
            </a:graphic>
          </wp:inline>
        </w:drawing>
      </w:r>
    </w:p>
    <w:p w14:paraId="18EAC0BF" w14:textId="23E7D171" w:rsidR="00EF20E5" w:rsidRPr="00684038" w:rsidRDefault="00F86491" w:rsidP="00EF20E5">
      <w:pPr>
        <w:jc w:val="center"/>
        <w:rPr>
          <w:rFonts w:ascii="Times New Roman" w:hAnsi="Times New Roman" w:cs="Times New Roman"/>
          <w:bCs/>
          <w:i/>
          <w:sz w:val="28"/>
          <w:szCs w:val="28"/>
        </w:rPr>
      </w:pPr>
      <w:r w:rsidRPr="00EF20E5">
        <w:rPr>
          <w:rStyle w:val="a9"/>
          <w:rFonts w:ascii="Times New Roman" w:hAnsi="Times New Roman" w:cs="Times New Roman"/>
          <w:i/>
          <w:color w:val="auto"/>
          <w:sz w:val="28"/>
          <w:szCs w:val="28"/>
          <w:u w:val="none"/>
        </w:rPr>
        <w:t xml:space="preserve">Рисунок 8- </w:t>
      </w:r>
      <w:r w:rsidR="00EF20E5" w:rsidRPr="00EF20E5">
        <w:rPr>
          <w:rFonts w:ascii="Times New Roman" w:hAnsi="Times New Roman" w:cs="Times New Roman"/>
          <w:bCs/>
          <w:i/>
          <w:sz w:val="28"/>
          <w:szCs w:val="28"/>
        </w:rPr>
        <w:t xml:space="preserve">Гистограмма распределения общего балла </w:t>
      </w:r>
      <w:r w:rsidR="00EF20E5" w:rsidRPr="00EF20E5">
        <w:rPr>
          <w:rFonts w:ascii="Times New Roman" w:hAnsi="Times New Roman" w:cs="Times New Roman"/>
          <w:bCs/>
          <w:i/>
          <w:sz w:val="28"/>
          <w:szCs w:val="28"/>
          <w:lang w:val="kk-KZ"/>
        </w:rPr>
        <w:t>респондентов</w:t>
      </w:r>
      <w:r w:rsidR="00EF20E5" w:rsidRPr="00EF20E5">
        <w:rPr>
          <w:rFonts w:ascii="Times New Roman" w:hAnsi="Times New Roman" w:cs="Times New Roman"/>
          <w:bCs/>
          <w:i/>
          <w:sz w:val="28"/>
          <w:szCs w:val="28"/>
        </w:rPr>
        <w:t xml:space="preserve"> по </w:t>
      </w:r>
      <w:r w:rsidR="00EF20E5" w:rsidRPr="00EF20E5">
        <w:rPr>
          <w:rFonts w:ascii="Times New Roman" w:hAnsi="Times New Roman" w:cs="Times New Roman"/>
          <w:bCs/>
          <w:i/>
          <w:sz w:val="28"/>
          <w:szCs w:val="28"/>
          <w:lang w:val="en-US"/>
        </w:rPr>
        <w:t>MoCA</w:t>
      </w:r>
    </w:p>
    <w:p w14:paraId="0F5A92C0" w14:textId="71436B96" w:rsidR="00EF20E5" w:rsidRDefault="00EF20E5" w:rsidP="00EF20E5">
      <w:pPr>
        <w:jc w:val="center"/>
        <w:rPr>
          <w:rFonts w:ascii="Times New Roman" w:hAnsi="Times New Roman" w:cs="Times New Roman"/>
          <w:i/>
          <w:sz w:val="28"/>
          <w:szCs w:val="28"/>
        </w:rPr>
      </w:pPr>
      <w:r w:rsidRPr="00EF20E5">
        <w:rPr>
          <w:rFonts w:ascii="Times New Roman" w:hAnsi="Times New Roman" w:cs="Times New Roman"/>
          <w:i/>
          <w:noProof/>
          <w:sz w:val="28"/>
          <w:szCs w:val="28"/>
          <w:lang w:val="en-US"/>
        </w:rPr>
        <w:lastRenderedPageBreak/>
        <mc:AlternateContent>
          <mc:Choice Requires="wps">
            <w:drawing>
              <wp:anchor distT="0" distB="0" distL="114300" distR="114300" simplePos="0" relativeHeight="251665408" behindDoc="0" locked="0" layoutInCell="1" allowOverlap="1" wp14:anchorId="103F1D19" wp14:editId="7BE0D81F">
                <wp:simplePos x="0" y="0"/>
                <wp:positionH relativeFrom="column">
                  <wp:posOffset>1240188</wp:posOffset>
                </wp:positionH>
                <wp:positionV relativeFrom="paragraph">
                  <wp:posOffset>816443</wp:posOffset>
                </wp:positionV>
                <wp:extent cx="894736" cy="707923"/>
                <wp:effectExtent l="0" t="0" r="57785" b="54610"/>
                <wp:wrapNone/>
                <wp:docPr id="22" name="Прямая со стрелкой 6"/>
                <wp:cNvGraphicFramePr/>
                <a:graphic xmlns:a="http://schemas.openxmlformats.org/drawingml/2006/main">
                  <a:graphicData uri="http://schemas.microsoft.com/office/word/2010/wordprocessingShape">
                    <wps:wsp>
                      <wps:cNvCnPr/>
                      <wps:spPr>
                        <a:xfrm>
                          <a:off x="0" y="0"/>
                          <a:ext cx="894736" cy="707923"/>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2E6FDD52" id="_x0000_t32" coordsize="21600,21600" o:spt="32" o:oned="t" path="m,l21600,21600e" filled="f">
                <v:path arrowok="t" fillok="f" o:connecttype="none"/>
                <o:lock v:ext="edit" shapetype="t"/>
              </v:shapetype>
              <v:shape id="Прямая со стрелкой 6" o:spid="_x0000_s1026" type="#_x0000_t32" style="position:absolute;margin-left:97.65pt;margin-top:64.3pt;width:70.45pt;height:55.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" strokecolor="#4472c4 [3204]" strokeweight="1.5pt">
                <v:stroke endarrow="block" joinstyle="miter"/>
              </v:shape>
            </w:pict>
          </mc:Fallback>
        </mc:AlternateContent>
      </w:r>
      <w:r w:rsidRPr="00EF20E5">
        <w:rPr>
          <w:rFonts w:ascii="Times New Roman" w:hAnsi="Times New Roman" w:cs="Times New Roman"/>
          <w:i/>
          <w:noProof/>
          <w:sz w:val="28"/>
          <w:szCs w:val="28"/>
          <w:lang w:val="en-US"/>
        </w:rPr>
        <mc:AlternateContent>
          <mc:Choice Requires="wps">
            <w:drawing>
              <wp:anchor distT="0" distB="0" distL="114300" distR="114300" simplePos="0" relativeHeight="251667456" behindDoc="0" locked="0" layoutInCell="1" allowOverlap="1" wp14:anchorId="5D3A551E" wp14:editId="262597D7">
                <wp:simplePos x="0" y="0"/>
                <wp:positionH relativeFrom="column">
                  <wp:posOffset>4512444</wp:posOffset>
                </wp:positionH>
                <wp:positionV relativeFrom="paragraph">
                  <wp:posOffset>1134478</wp:posOffset>
                </wp:positionV>
                <wp:extent cx="876333" cy="919145"/>
                <wp:effectExtent l="38100" t="0" r="19050" b="52705"/>
                <wp:wrapNone/>
                <wp:docPr id="23" name="Прямая со стрелкой 6"/>
                <wp:cNvGraphicFramePr/>
                <a:graphic xmlns:a="http://schemas.openxmlformats.org/drawingml/2006/main">
                  <a:graphicData uri="http://schemas.microsoft.com/office/word/2010/wordprocessingShape">
                    <wps:wsp>
                      <wps:cNvCnPr/>
                      <wps:spPr>
                        <a:xfrm flipH="1">
                          <a:off x="0" y="0"/>
                          <a:ext cx="876333" cy="91914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D4502" id="Прямая со стрелкой 6" o:spid="_x0000_s1026" type="#_x0000_t32" style="position:absolute;margin-left:355.3pt;margin-top:89.35pt;width:69pt;height:72.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" strokecolor="#4472c4 [3204]" strokeweight="1.5pt">
                <v:stroke endarrow="block" joinstyle="miter"/>
              </v:shape>
            </w:pict>
          </mc:Fallback>
        </mc:AlternateContent>
      </w:r>
      <w:r w:rsidRPr="00EF20E5">
        <w:rPr>
          <w:rFonts w:ascii="Times New Roman" w:hAnsi="Times New Roman" w:cs="Times New Roman"/>
          <w:i/>
          <w:noProof/>
          <w:sz w:val="28"/>
          <w:szCs w:val="28"/>
          <w:lang w:val="en-US"/>
        </w:rPr>
        <mc:AlternateContent>
          <mc:Choice Requires="wps">
            <w:drawing>
              <wp:anchor distT="0" distB="0" distL="114300" distR="114300" simplePos="0" relativeHeight="251663360" behindDoc="0" locked="0" layoutInCell="1" allowOverlap="1" wp14:anchorId="54AF4588" wp14:editId="48E2592D">
                <wp:simplePos x="0" y="0"/>
                <wp:positionH relativeFrom="column">
                  <wp:posOffset>200760</wp:posOffset>
                </wp:positionH>
                <wp:positionV relativeFrom="paragraph">
                  <wp:posOffset>528086</wp:posOffset>
                </wp:positionV>
                <wp:extent cx="1573162" cy="276999"/>
                <wp:effectExtent l="0" t="0" r="0" b="0"/>
                <wp:wrapNone/>
                <wp:docPr id="21" name="TextBox 15"/>
                <wp:cNvGraphicFramePr/>
                <a:graphic xmlns:a="http://schemas.openxmlformats.org/drawingml/2006/main">
                  <a:graphicData uri="http://schemas.microsoft.com/office/word/2010/wordprocessingShape">
                    <wps:wsp>
                      <wps:cNvSpPr txBox="1"/>
                      <wps:spPr>
                        <a:xfrm>
                          <a:off x="0" y="0"/>
                          <a:ext cx="1573162" cy="276999"/>
                        </a:xfrm>
                        <a:prstGeom prst="rect">
                          <a:avLst/>
                        </a:prstGeom>
                        <a:noFill/>
                      </wps:spPr>
                      <wps:txbx>
                        <w:txbxContent>
                          <w:p w14:paraId="574312E8" w14:textId="77777777" w:rsidR="00EF20E5" w:rsidRDefault="00EF20E5" w:rsidP="00EF20E5">
                            <w:pPr>
                              <w:pStyle w:val="aa"/>
                              <w:spacing w:before="0" w:beforeAutospacing="0" w:after="0" w:afterAutospacing="0"/>
                            </w:pPr>
                            <w:r>
                              <w:rPr>
                                <w:b/>
                                <w:bCs/>
                                <w:color w:val="000000" w:themeColor="text1"/>
                                <w:kern w:val="24"/>
                              </w:rPr>
                              <w:t>Средний балл 25,8</w:t>
                            </w:r>
                          </w:p>
                        </w:txbxContent>
                      </wps:txbx>
                      <wps:bodyPr wrap="square" rtlCol="0">
                        <a:spAutoFit/>
                      </wps:bodyPr>
                    </wps:wsp>
                  </a:graphicData>
                </a:graphic>
              </wp:anchor>
            </w:drawing>
          </mc:Choice>
          <mc:Fallback>
            <w:pict>
              <v:shapetype w14:anchorId="54AF4588" id="_x0000_t202" coordsize="21600,21600" o:spt="202" path="m,l,21600r21600,l21600,xe">
                <v:stroke joinstyle="miter"/>
                <v:path gradientshapeok="t" o:connecttype="rect"/>
              </v:shapetype>
              <v:shape id="TextBox 15" o:spid="_x0000_s1027" type="#_x0000_t202" style="position:absolute;left:0;text-align:left;margin-left:15.8pt;margin-top:41.6pt;width:123.85pt;height:2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" filled="f" stroked="f">
                <v:textbox style="mso-fit-shape-to-text:t">
                  <w:txbxContent>
                    <w:p w14:paraId="574312E8" w14:textId="77777777" w:rsidR="00EF20E5" w:rsidRDefault="00EF20E5" w:rsidP="00EF20E5">
                      <w:pPr>
                        <w:pStyle w:val="aa"/>
                        <w:spacing w:before="0" w:beforeAutospacing="0" w:after="0" w:afterAutospacing="0"/>
                      </w:pPr>
                      <w:r>
                        <w:rPr>
                          <w:b/>
                          <w:bCs/>
                          <w:color w:val="000000" w:themeColor="text1"/>
                          <w:kern w:val="24"/>
                        </w:rPr>
                        <w:t>Средний балл 25,8</w:t>
                      </w:r>
                    </w:p>
                  </w:txbxContent>
                </v:textbox>
              </v:shape>
            </w:pict>
          </mc:Fallback>
        </mc:AlternateContent>
      </w:r>
      <w:r w:rsidRPr="00EF20E5">
        <w:rPr>
          <w:rFonts w:ascii="Times New Roman" w:hAnsi="Times New Roman" w:cs="Times New Roman"/>
          <w:i/>
          <w:noProof/>
          <w:sz w:val="28"/>
          <w:szCs w:val="28"/>
          <w:lang w:val="en-US"/>
        </w:rPr>
        <w:drawing>
          <wp:inline distT="0" distB="0" distL="0" distR="0" wp14:anchorId="5C436101" wp14:editId="400CDD72">
            <wp:extent cx="6480175" cy="3472815"/>
            <wp:effectExtent l="0" t="0" r="15875" b="1333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CCF9CA" w14:textId="48982525" w:rsidR="00EF20E5" w:rsidRDefault="00EF20E5" w:rsidP="00EF20E5">
      <w:pPr>
        <w:jc w:val="center"/>
        <w:rPr>
          <w:rFonts w:ascii="Times New Roman" w:hAnsi="Times New Roman" w:cs="Times New Roman"/>
          <w:bCs/>
          <w:i/>
          <w:sz w:val="28"/>
          <w:szCs w:val="28"/>
        </w:rPr>
      </w:pPr>
      <w:r w:rsidRPr="00EF20E5">
        <w:rPr>
          <w:rStyle w:val="a9"/>
          <w:rFonts w:ascii="Times New Roman" w:hAnsi="Times New Roman" w:cs="Times New Roman"/>
          <w:i/>
          <w:color w:val="auto"/>
          <w:sz w:val="28"/>
          <w:szCs w:val="28"/>
          <w:u w:val="none"/>
        </w:rPr>
        <w:t xml:space="preserve">Рисунок </w:t>
      </w:r>
      <w:r>
        <w:rPr>
          <w:rStyle w:val="a9"/>
          <w:rFonts w:ascii="Times New Roman" w:hAnsi="Times New Roman" w:cs="Times New Roman"/>
          <w:i/>
          <w:color w:val="auto"/>
          <w:sz w:val="28"/>
          <w:szCs w:val="28"/>
          <w:u w:val="none"/>
        </w:rPr>
        <w:t>9</w:t>
      </w:r>
      <w:r w:rsidRPr="00EF20E5">
        <w:rPr>
          <w:noProof/>
        </w:rPr>
        <w:t xml:space="preserve"> </w:t>
      </w:r>
      <w:r w:rsidRPr="00EF20E5">
        <w:rPr>
          <w:rFonts w:ascii="Times New Roman" w:eastAsiaTheme="minorEastAsia" w:hAnsi="Times New Roman" w:cs="Times New Roman"/>
          <w:bCs/>
          <w:i/>
          <w:color w:val="000000" w:themeColor="text1"/>
          <w:kern w:val="24"/>
          <w:sz w:val="40"/>
          <w:szCs w:val="40"/>
        </w:rPr>
        <w:t xml:space="preserve">- </w:t>
      </w:r>
      <w:r w:rsidRPr="00EF20E5">
        <w:rPr>
          <w:rFonts w:ascii="Times New Roman" w:hAnsi="Times New Roman" w:cs="Times New Roman"/>
          <w:bCs/>
          <w:i/>
          <w:sz w:val="28"/>
          <w:szCs w:val="28"/>
        </w:rPr>
        <w:t>Распределение респондентов по уровню образования и набранному среднему баллу</w:t>
      </w:r>
    </w:p>
    <w:p w14:paraId="0FD5E844" w14:textId="1EF5A1E8" w:rsidR="00EF20E5" w:rsidRDefault="00EF20E5" w:rsidP="00EF20E5">
      <w:pPr>
        <w:jc w:val="center"/>
        <w:rPr>
          <w:rFonts w:ascii="Times New Roman" w:hAnsi="Times New Roman" w:cs="Times New Roman"/>
          <w:bCs/>
          <w:i/>
          <w:sz w:val="28"/>
          <w:szCs w:val="28"/>
        </w:rPr>
      </w:pPr>
      <w:r w:rsidRPr="00EF20E5">
        <w:rPr>
          <w:rFonts w:ascii="Times New Roman" w:hAnsi="Times New Roman" w:cs="Times New Roman"/>
          <w:bCs/>
          <w:i/>
          <w:noProof/>
          <w:sz w:val="28"/>
          <w:szCs w:val="28"/>
          <w:lang w:val="en-US"/>
        </w:rPr>
        <w:drawing>
          <wp:inline distT="0" distB="0" distL="0" distR="0" wp14:anchorId="55E3A694" wp14:editId="4F534510">
            <wp:extent cx="5486400" cy="3613785"/>
            <wp:effectExtent l="0" t="0" r="0" b="571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D2F3202" w14:textId="5F4F49E8" w:rsidR="007A3B85" w:rsidRDefault="007A3B85" w:rsidP="007A3B85">
      <w:pPr>
        <w:jc w:val="center"/>
        <w:rPr>
          <w:rFonts w:ascii="Times New Roman" w:hAnsi="Times New Roman" w:cs="Times New Roman"/>
          <w:bCs/>
          <w:i/>
          <w:sz w:val="28"/>
          <w:szCs w:val="28"/>
        </w:rPr>
      </w:pPr>
      <w:r w:rsidRPr="00EF20E5">
        <w:rPr>
          <w:rStyle w:val="a9"/>
          <w:rFonts w:ascii="Times New Roman" w:hAnsi="Times New Roman" w:cs="Times New Roman"/>
          <w:i/>
          <w:color w:val="auto"/>
          <w:sz w:val="28"/>
          <w:szCs w:val="28"/>
          <w:u w:val="none"/>
        </w:rPr>
        <w:t xml:space="preserve">Рисунок </w:t>
      </w:r>
      <w:r>
        <w:rPr>
          <w:rStyle w:val="a9"/>
          <w:rFonts w:ascii="Times New Roman" w:hAnsi="Times New Roman" w:cs="Times New Roman"/>
          <w:i/>
          <w:color w:val="auto"/>
          <w:sz w:val="28"/>
          <w:szCs w:val="28"/>
          <w:u w:val="none"/>
        </w:rPr>
        <w:t xml:space="preserve">10 </w:t>
      </w:r>
      <w:r w:rsidRPr="00EF20E5">
        <w:rPr>
          <w:rFonts w:ascii="Times New Roman" w:eastAsiaTheme="minorEastAsia" w:hAnsi="Times New Roman" w:cs="Times New Roman"/>
          <w:bCs/>
          <w:i/>
          <w:color w:val="000000" w:themeColor="text1"/>
          <w:kern w:val="24"/>
          <w:sz w:val="40"/>
          <w:szCs w:val="40"/>
        </w:rPr>
        <w:t xml:space="preserve">- </w:t>
      </w:r>
      <w:r w:rsidRPr="007A3B85">
        <w:rPr>
          <w:rFonts w:ascii="Times New Roman" w:hAnsi="Times New Roman" w:cs="Times New Roman"/>
          <w:bCs/>
          <w:i/>
          <w:sz w:val="28"/>
          <w:szCs w:val="28"/>
          <w:lang w:val="kk-KZ"/>
        </w:rPr>
        <w:t>Распределение набранных баллов респондента</w:t>
      </w:r>
      <w:r>
        <w:rPr>
          <w:rFonts w:ascii="Times New Roman" w:hAnsi="Times New Roman" w:cs="Times New Roman"/>
          <w:bCs/>
          <w:i/>
          <w:sz w:val="28"/>
          <w:szCs w:val="28"/>
          <w:lang w:val="kk-KZ"/>
        </w:rPr>
        <w:t>ми по блоку «Зрительные навыки»</w:t>
      </w:r>
    </w:p>
    <w:p w14:paraId="5050F761" w14:textId="77777777" w:rsidR="007A3B85" w:rsidRDefault="007A3B85" w:rsidP="00EF20E5">
      <w:pPr>
        <w:jc w:val="center"/>
        <w:rPr>
          <w:rFonts w:ascii="Times New Roman" w:hAnsi="Times New Roman" w:cs="Times New Roman"/>
          <w:bCs/>
          <w:i/>
          <w:sz w:val="28"/>
          <w:szCs w:val="28"/>
        </w:rPr>
      </w:pPr>
    </w:p>
    <w:p w14:paraId="26689BC1" w14:textId="6D8EB18B" w:rsidR="00EF20E5" w:rsidRDefault="00EF20E5" w:rsidP="00EF20E5">
      <w:pPr>
        <w:jc w:val="center"/>
        <w:rPr>
          <w:rFonts w:ascii="Times New Roman" w:hAnsi="Times New Roman" w:cs="Times New Roman"/>
          <w:bCs/>
          <w:i/>
          <w:sz w:val="28"/>
          <w:szCs w:val="28"/>
        </w:rPr>
      </w:pPr>
      <w:r w:rsidRPr="00EF20E5">
        <w:rPr>
          <w:rFonts w:ascii="Times New Roman" w:hAnsi="Times New Roman" w:cs="Times New Roman"/>
          <w:bCs/>
          <w:i/>
          <w:noProof/>
          <w:sz w:val="28"/>
          <w:szCs w:val="28"/>
          <w:lang w:val="en-US"/>
        </w:rPr>
        <w:lastRenderedPageBreak/>
        <w:drawing>
          <wp:inline distT="0" distB="0" distL="0" distR="0" wp14:anchorId="30B811D2" wp14:editId="19677E74">
            <wp:extent cx="5020310" cy="3491865"/>
            <wp:effectExtent l="0" t="0" r="8890" b="1333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FCE342C" w14:textId="5802EE73" w:rsidR="007A3B85" w:rsidRPr="00EF20E5" w:rsidRDefault="007A3B85" w:rsidP="007A3B85">
      <w:pPr>
        <w:jc w:val="center"/>
        <w:rPr>
          <w:rFonts w:ascii="Times New Roman" w:hAnsi="Times New Roman" w:cs="Times New Roman"/>
          <w:bCs/>
          <w:i/>
          <w:sz w:val="28"/>
          <w:szCs w:val="28"/>
        </w:rPr>
      </w:pPr>
      <w:r w:rsidRPr="00EF20E5">
        <w:rPr>
          <w:rStyle w:val="a9"/>
          <w:rFonts w:ascii="Times New Roman" w:hAnsi="Times New Roman" w:cs="Times New Roman"/>
          <w:i/>
          <w:color w:val="auto"/>
          <w:sz w:val="28"/>
          <w:szCs w:val="28"/>
          <w:u w:val="none"/>
        </w:rPr>
        <w:t xml:space="preserve">Рисунок </w:t>
      </w:r>
      <w:r>
        <w:rPr>
          <w:rStyle w:val="a9"/>
          <w:rFonts w:ascii="Times New Roman" w:hAnsi="Times New Roman" w:cs="Times New Roman"/>
          <w:i/>
          <w:color w:val="auto"/>
          <w:sz w:val="28"/>
          <w:szCs w:val="28"/>
          <w:u w:val="none"/>
        </w:rPr>
        <w:t xml:space="preserve">11 </w:t>
      </w:r>
      <w:r w:rsidRPr="00EF20E5">
        <w:rPr>
          <w:rFonts w:ascii="Times New Roman" w:eastAsiaTheme="minorEastAsia" w:hAnsi="Times New Roman" w:cs="Times New Roman"/>
          <w:bCs/>
          <w:i/>
          <w:color w:val="000000" w:themeColor="text1"/>
          <w:kern w:val="24"/>
          <w:sz w:val="40"/>
          <w:szCs w:val="40"/>
        </w:rPr>
        <w:t xml:space="preserve">- </w:t>
      </w:r>
      <w:r w:rsidRPr="007A3B85">
        <w:rPr>
          <w:rFonts w:ascii="Times New Roman" w:hAnsi="Times New Roman" w:cs="Times New Roman"/>
          <w:bCs/>
          <w:i/>
          <w:sz w:val="28"/>
          <w:szCs w:val="28"/>
          <w:lang w:val="kk-KZ"/>
        </w:rPr>
        <w:t>Распределение набранных баллов респондентами по блоку «Называние».</w:t>
      </w:r>
    </w:p>
    <w:p w14:paraId="4AFD14A7" w14:textId="6A0E31B1" w:rsidR="007A3B85" w:rsidRPr="00684038" w:rsidRDefault="007A3B85" w:rsidP="007A3B85">
      <w:pPr>
        <w:jc w:val="center"/>
        <w:rPr>
          <w:noProof/>
        </w:rPr>
      </w:pPr>
      <w:r w:rsidRPr="007A3B85">
        <w:rPr>
          <w:rFonts w:ascii="Times New Roman" w:hAnsi="Times New Roman" w:cs="Times New Roman"/>
          <w:bCs/>
          <w:i/>
          <w:noProof/>
          <w:sz w:val="28"/>
          <w:szCs w:val="28"/>
          <w:lang w:val="en-US"/>
        </w:rPr>
        <w:drawing>
          <wp:inline distT="0" distB="0" distL="0" distR="0" wp14:anchorId="274B6F11" wp14:editId="26116CAB">
            <wp:extent cx="5020310" cy="3469005"/>
            <wp:effectExtent l="0" t="0" r="8890" b="1714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684038">
        <w:rPr>
          <w:noProof/>
        </w:rPr>
        <w:t xml:space="preserve"> </w:t>
      </w:r>
    </w:p>
    <w:p w14:paraId="2349FDB4" w14:textId="13C99411" w:rsidR="007A3B85" w:rsidRPr="00EF20E5" w:rsidRDefault="007A3B85" w:rsidP="007A3B85">
      <w:pPr>
        <w:jc w:val="center"/>
        <w:rPr>
          <w:rFonts w:ascii="Times New Roman" w:hAnsi="Times New Roman" w:cs="Times New Roman"/>
          <w:bCs/>
          <w:i/>
          <w:sz w:val="28"/>
          <w:szCs w:val="28"/>
        </w:rPr>
      </w:pPr>
      <w:r w:rsidRPr="00EF20E5">
        <w:rPr>
          <w:rStyle w:val="a9"/>
          <w:rFonts w:ascii="Times New Roman" w:hAnsi="Times New Roman" w:cs="Times New Roman"/>
          <w:i/>
          <w:color w:val="auto"/>
          <w:sz w:val="28"/>
          <w:szCs w:val="28"/>
          <w:u w:val="none"/>
        </w:rPr>
        <w:t xml:space="preserve">Рисунок </w:t>
      </w:r>
      <w:r>
        <w:rPr>
          <w:rStyle w:val="a9"/>
          <w:rFonts w:ascii="Times New Roman" w:hAnsi="Times New Roman" w:cs="Times New Roman"/>
          <w:i/>
          <w:color w:val="auto"/>
          <w:sz w:val="28"/>
          <w:szCs w:val="28"/>
          <w:u w:val="none"/>
        </w:rPr>
        <w:t xml:space="preserve">12 </w:t>
      </w:r>
      <w:r w:rsidRPr="00EF20E5">
        <w:rPr>
          <w:rFonts w:ascii="Times New Roman" w:eastAsiaTheme="minorEastAsia" w:hAnsi="Times New Roman" w:cs="Times New Roman"/>
          <w:bCs/>
          <w:i/>
          <w:color w:val="000000" w:themeColor="text1"/>
          <w:kern w:val="24"/>
          <w:sz w:val="40"/>
          <w:szCs w:val="40"/>
        </w:rPr>
        <w:t xml:space="preserve">- </w:t>
      </w:r>
      <w:r w:rsidRPr="007A3B85">
        <w:rPr>
          <w:rFonts w:ascii="Times New Roman" w:hAnsi="Times New Roman" w:cs="Times New Roman"/>
          <w:bCs/>
          <w:i/>
          <w:sz w:val="28"/>
          <w:szCs w:val="28"/>
          <w:lang w:val="kk-KZ"/>
        </w:rPr>
        <w:t>Распределение набранных баллов респондентами по блоку «Внимание».</w:t>
      </w:r>
    </w:p>
    <w:p w14:paraId="3D954A23" w14:textId="77777777" w:rsidR="007A3B85" w:rsidRPr="007A3B85" w:rsidRDefault="007A3B85" w:rsidP="007A3B85">
      <w:pPr>
        <w:jc w:val="center"/>
        <w:rPr>
          <w:noProof/>
        </w:rPr>
      </w:pPr>
    </w:p>
    <w:p w14:paraId="121DFAEC" w14:textId="0A2F131E" w:rsidR="007A3B85" w:rsidRDefault="007A3B85" w:rsidP="007A3B85">
      <w:pPr>
        <w:jc w:val="center"/>
        <w:rPr>
          <w:noProof/>
          <w:lang w:val="en-US"/>
        </w:rPr>
      </w:pPr>
      <w:r w:rsidRPr="007A3B85">
        <w:rPr>
          <w:rFonts w:ascii="Times New Roman" w:hAnsi="Times New Roman" w:cs="Times New Roman"/>
          <w:bCs/>
          <w:i/>
          <w:noProof/>
          <w:sz w:val="28"/>
          <w:szCs w:val="28"/>
          <w:lang w:val="en-US"/>
        </w:rPr>
        <w:lastRenderedPageBreak/>
        <w:drawing>
          <wp:inline distT="0" distB="0" distL="0" distR="0" wp14:anchorId="6B75EBED" wp14:editId="2C2FC484">
            <wp:extent cx="5069205" cy="3316605"/>
            <wp:effectExtent l="0" t="0" r="17145" b="1714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D16D25E" w14:textId="68EB983A" w:rsidR="007A3B85" w:rsidRPr="00EF20E5" w:rsidRDefault="007A3B85" w:rsidP="007A3B85">
      <w:pPr>
        <w:jc w:val="center"/>
        <w:rPr>
          <w:rFonts w:ascii="Times New Roman" w:hAnsi="Times New Roman" w:cs="Times New Roman"/>
          <w:bCs/>
          <w:i/>
          <w:sz w:val="28"/>
          <w:szCs w:val="28"/>
        </w:rPr>
      </w:pPr>
      <w:r w:rsidRPr="00EF20E5">
        <w:rPr>
          <w:rStyle w:val="a9"/>
          <w:rFonts w:ascii="Times New Roman" w:hAnsi="Times New Roman" w:cs="Times New Roman"/>
          <w:i/>
          <w:color w:val="auto"/>
          <w:sz w:val="28"/>
          <w:szCs w:val="28"/>
          <w:u w:val="none"/>
        </w:rPr>
        <w:t xml:space="preserve">Рисунок </w:t>
      </w:r>
      <w:r>
        <w:rPr>
          <w:rStyle w:val="a9"/>
          <w:rFonts w:ascii="Times New Roman" w:hAnsi="Times New Roman" w:cs="Times New Roman"/>
          <w:i/>
          <w:color w:val="auto"/>
          <w:sz w:val="28"/>
          <w:szCs w:val="28"/>
          <w:u w:val="none"/>
        </w:rPr>
        <w:t xml:space="preserve">13 </w:t>
      </w:r>
      <w:r w:rsidRPr="00EF20E5">
        <w:rPr>
          <w:rFonts w:ascii="Times New Roman" w:eastAsiaTheme="minorEastAsia" w:hAnsi="Times New Roman" w:cs="Times New Roman"/>
          <w:bCs/>
          <w:i/>
          <w:color w:val="000000" w:themeColor="text1"/>
          <w:kern w:val="24"/>
          <w:sz w:val="40"/>
          <w:szCs w:val="40"/>
        </w:rPr>
        <w:t xml:space="preserve">- </w:t>
      </w:r>
      <w:r w:rsidRPr="007A3B85">
        <w:rPr>
          <w:rFonts w:ascii="Times New Roman" w:hAnsi="Times New Roman" w:cs="Times New Roman"/>
          <w:bCs/>
          <w:i/>
          <w:sz w:val="28"/>
          <w:szCs w:val="28"/>
          <w:lang w:val="kk-KZ"/>
        </w:rPr>
        <w:t>Распределение набранных баллов респондентами по блоку «</w:t>
      </w:r>
      <w:r>
        <w:rPr>
          <w:rFonts w:ascii="Times New Roman" w:hAnsi="Times New Roman" w:cs="Times New Roman"/>
          <w:bCs/>
          <w:i/>
          <w:sz w:val="28"/>
          <w:szCs w:val="28"/>
          <w:lang w:val="kk-KZ"/>
        </w:rPr>
        <w:t>Речь</w:t>
      </w:r>
      <w:r w:rsidRPr="007A3B85">
        <w:rPr>
          <w:rFonts w:ascii="Times New Roman" w:hAnsi="Times New Roman" w:cs="Times New Roman"/>
          <w:bCs/>
          <w:i/>
          <w:sz w:val="28"/>
          <w:szCs w:val="28"/>
          <w:lang w:val="kk-KZ"/>
        </w:rPr>
        <w:t>».</w:t>
      </w:r>
    </w:p>
    <w:p w14:paraId="362B5AA4" w14:textId="313BE1EE" w:rsidR="007A3B85" w:rsidRDefault="007A3B85" w:rsidP="007A3B85">
      <w:pPr>
        <w:jc w:val="center"/>
        <w:rPr>
          <w:rFonts w:ascii="Times New Roman" w:hAnsi="Times New Roman" w:cs="Times New Roman"/>
          <w:bCs/>
          <w:i/>
          <w:sz w:val="28"/>
          <w:szCs w:val="28"/>
        </w:rPr>
      </w:pPr>
      <w:r w:rsidRPr="007A3B85">
        <w:rPr>
          <w:rFonts w:ascii="Times New Roman" w:hAnsi="Times New Roman" w:cs="Times New Roman"/>
          <w:bCs/>
          <w:i/>
          <w:noProof/>
          <w:sz w:val="28"/>
          <w:szCs w:val="28"/>
          <w:lang w:val="en-US"/>
        </w:rPr>
        <w:drawing>
          <wp:inline distT="0" distB="0" distL="0" distR="0" wp14:anchorId="1E440F2A" wp14:editId="3BFE19C9">
            <wp:extent cx="6480175" cy="3992880"/>
            <wp:effectExtent l="0" t="0" r="15875" b="7620"/>
            <wp:docPr id="28" name="Диаграмма 28">
              <a:extLst xmlns:a="http://schemas.openxmlformats.org/drawingml/2006/main">
                <a:ext uri="{FF2B5EF4-FFF2-40B4-BE49-F238E27FC236}">
                  <a16:creationId xmlns:a16="http://schemas.microsoft.com/office/drawing/2014/main" id="{A1EC1014-172C-45FD-AEB0-3FD6988458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3F48229" w14:textId="77777777" w:rsidR="007A3B85" w:rsidRPr="007A3B85" w:rsidRDefault="007A3B85" w:rsidP="007A3B85">
      <w:pPr>
        <w:jc w:val="center"/>
        <w:rPr>
          <w:rFonts w:ascii="Times New Roman" w:hAnsi="Times New Roman" w:cs="Times New Roman"/>
          <w:bCs/>
          <w:i/>
          <w:sz w:val="28"/>
          <w:szCs w:val="28"/>
        </w:rPr>
      </w:pPr>
      <w:r w:rsidRPr="00EF20E5">
        <w:rPr>
          <w:rStyle w:val="a9"/>
          <w:rFonts w:ascii="Times New Roman" w:hAnsi="Times New Roman" w:cs="Times New Roman"/>
          <w:i/>
          <w:color w:val="auto"/>
          <w:sz w:val="28"/>
          <w:szCs w:val="28"/>
          <w:u w:val="none"/>
        </w:rPr>
        <w:t xml:space="preserve">Рисунок </w:t>
      </w:r>
      <w:r>
        <w:rPr>
          <w:rStyle w:val="a9"/>
          <w:rFonts w:ascii="Times New Roman" w:hAnsi="Times New Roman" w:cs="Times New Roman"/>
          <w:i/>
          <w:color w:val="auto"/>
          <w:sz w:val="28"/>
          <w:szCs w:val="28"/>
          <w:u w:val="none"/>
        </w:rPr>
        <w:t xml:space="preserve">13 </w:t>
      </w:r>
      <w:r w:rsidRPr="00EF20E5">
        <w:rPr>
          <w:rFonts w:ascii="Times New Roman" w:eastAsiaTheme="minorEastAsia" w:hAnsi="Times New Roman" w:cs="Times New Roman"/>
          <w:bCs/>
          <w:i/>
          <w:color w:val="000000" w:themeColor="text1"/>
          <w:kern w:val="24"/>
          <w:sz w:val="40"/>
          <w:szCs w:val="40"/>
        </w:rPr>
        <w:t xml:space="preserve">- </w:t>
      </w:r>
      <w:r w:rsidRPr="007A3B85">
        <w:rPr>
          <w:rFonts w:ascii="Times New Roman" w:hAnsi="Times New Roman" w:cs="Times New Roman"/>
          <w:bCs/>
          <w:i/>
          <w:sz w:val="28"/>
          <w:szCs w:val="28"/>
          <w:lang w:val="kk-KZ"/>
        </w:rPr>
        <w:t>Частота набранных баллов по блоку «Абстрактное мышление» на 100 респондентов</w:t>
      </w:r>
    </w:p>
    <w:p w14:paraId="2416FD79" w14:textId="0A11B25E" w:rsidR="007A3B85" w:rsidRPr="00EF20E5" w:rsidRDefault="007A3B85" w:rsidP="007A3B85">
      <w:pPr>
        <w:jc w:val="center"/>
        <w:rPr>
          <w:rFonts w:ascii="Times New Roman" w:hAnsi="Times New Roman" w:cs="Times New Roman"/>
          <w:bCs/>
          <w:i/>
          <w:sz w:val="28"/>
          <w:szCs w:val="28"/>
        </w:rPr>
      </w:pPr>
    </w:p>
    <w:p w14:paraId="2E2CBBB9" w14:textId="0D9675B9" w:rsidR="007A3B85" w:rsidRDefault="007A3B85" w:rsidP="007A3B85">
      <w:pPr>
        <w:jc w:val="center"/>
        <w:rPr>
          <w:rFonts w:ascii="Times New Roman" w:hAnsi="Times New Roman" w:cs="Times New Roman"/>
          <w:bCs/>
          <w:i/>
          <w:sz w:val="28"/>
          <w:szCs w:val="28"/>
        </w:rPr>
      </w:pPr>
      <w:r w:rsidRPr="007A3B85">
        <w:rPr>
          <w:rFonts w:ascii="Times New Roman" w:hAnsi="Times New Roman" w:cs="Times New Roman"/>
          <w:bCs/>
          <w:i/>
          <w:noProof/>
          <w:sz w:val="28"/>
          <w:szCs w:val="28"/>
          <w:lang w:val="en-US"/>
        </w:rPr>
        <w:lastRenderedPageBreak/>
        <w:drawing>
          <wp:inline distT="0" distB="0" distL="0" distR="0" wp14:anchorId="76C10997" wp14:editId="6699D379">
            <wp:extent cx="4495218" cy="4262619"/>
            <wp:effectExtent l="0" t="0" r="635" b="508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B4D841" w14:textId="03E9315A" w:rsidR="007A3B85" w:rsidRPr="00EF20E5" w:rsidRDefault="007A3B85" w:rsidP="007A3B85">
      <w:pPr>
        <w:jc w:val="center"/>
        <w:rPr>
          <w:rFonts w:ascii="Times New Roman" w:hAnsi="Times New Roman" w:cs="Times New Roman"/>
          <w:bCs/>
          <w:i/>
          <w:sz w:val="28"/>
          <w:szCs w:val="28"/>
        </w:rPr>
      </w:pPr>
      <w:r w:rsidRPr="00EF20E5">
        <w:rPr>
          <w:rStyle w:val="a9"/>
          <w:rFonts w:ascii="Times New Roman" w:hAnsi="Times New Roman" w:cs="Times New Roman"/>
          <w:i/>
          <w:color w:val="auto"/>
          <w:sz w:val="28"/>
          <w:szCs w:val="28"/>
          <w:u w:val="none"/>
        </w:rPr>
        <w:t xml:space="preserve">Рисунок </w:t>
      </w:r>
      <w:r>
        <w:rPr>
          <w:rStyle w:val="a9"/>
          <w:rFonts w:ascii="Times New Roman" w:hAnsi="Times New Roman" w:cs="Times New Roman"/>
          <w:i/>
          <w:color w:val="auto"/>
          <w:sz w:val="28"/>
          <w:szCs w:val="28"/>
          <w:u w:val="none"/>
        </w:rPr>
        <w:t xml:space="preserve">14 </w:t>
      </w:r>
      <w:r w:rsidRPr="00EF20E5">
        <w:rPr>
          <w:rFonts w:ascii="Times New Roman" w:eastAsiaTheme="minorEastAsia" w:hAnsi="Times New Roman" w:cs="Times New Roman"/>
          <w:bCs/>
          <w:i/>
          <w:color w:val="000000" w:themeColor="text1"/>
          <w:kern w:val="24"/>
          <w:sz w:val="40"/>
          <w:szCs w:val="40"/>
        </w:rPr>
        <w:t xml:space="preserve">- </w:t>
      </w:r>
      <w:r w:rsidRPr="007A3B85">
        <w:rPr>
          <w:rFonts w:ascii="Times New Roman" w:hAnsi="Times New Roman" w:cs="Times New Roman"/>
          <w:bCs/>
          <w:i/>
          <w:sz w:val="28"/>
          <w:szCs w:val="28"/>
          <w:lang w:val="kk-KZ"/>
        </w:rPr>
        <w:t>Распределение набранных баллов респондентами по блоку «</w:t>
      </w:r>
      <w:r>
        <w:rPr>
          <w:rFonts w:ascii="Times New Roman" w:hAnsi="Times New Roman" w:cs="Times New Roman"/>
          <w:bCs/>
          <w:i/>
          <w:sz w:val="28"/>
          <w:szCs w:val="28"/>
          <w:lang w:val="kk-KZ"/>
        </w:rPr>
        <w:t>Ориентация</w:t>
      </w:r>
      <w:r w:rsidRPr="007A3B85">
        <w:rPr>
          <w:rFonts w:ascii="Times New Roman" w:hAnsi="Times New Roman" w:cs="Times New Roman"/>
          <w:bCs/>
          <w:i/>
          <w:sz w:val="28"/>
          <w:szCs w:val="28"/>
          <w:lang w:val="kk-KZ"/>
        </w:rPr>
        <w:t>».</w:t>
      </w:r>
    </w:p>
    <w:p w14:paraId="602EF4B9" w14:textId="77777777" w:rsidR="007A3B85" w:rsidRDefault="007A3B85" w:rsidP="007A3B85">
      <w:pPr>
        <w:jc w:val="center"/>
        <w:rPr>
          <w:rFonts w:ascii="Times New Roman" w:hAnsi="Times New Roman" w:cs="Times New Roman"/>
          <w:bCs/>
          <w:i/>
          <w:sz w:val="28"/>
          <w:szCs w:val="28"/>
        </w:rPr>
      </w:pPr>
    </w:p>
    <w:p w14:paraId="24BD35D4" w14:textId="5C44E020" w:rsidR="007A3B85" w:rsidRDefault="007A3B85" w:rsidP="007A3B85">
      <w:pPr>
        <w:jc w:val="center"/>
        <w:rPr>
          <w:rFonts w:ascii="Times New Roman" w:hAnsi="Times New Roman" w:cs="Times New Roman"/>
          <w:bCs/>
          <w:i/>
          <w:sz w:val="28"/>
          <w:szCs w:val="28"/>
        </w:rPr>
      </w:pPr>
      <w:r w:rsidRPr="007A3B85">
        <w:rPr>
          <w:rFonts w:ascii="Times New Roman" w:hAnsi="Times New Roman" w:cs="Times New Roman"/>
          <w:bCs/>
          <w:i/>
          <w:noProof/>
          <w:sz w:val="28"/>
          <w:szCs w:val="28"/>
          <w:lang w:val="en-US"/>
        </w:rPr>
        <w:lastRenderedPageBreak/>
        <w:drawing>
          <wp:inline distT="0" distB="0" distL="0" distR="0" wp14:anchorId="03448176" wp14:editId="762732D4">
            <wp:extent cx="5486400" cy="4219603"/>
            <wp:effectExtent l="0" t="0" r="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66B719C" w14:textId="77777777" w:rsidR="007A3B85" w:rsidRPr="007A3B85" w:rsidRDefault="007A3B85" w:rsidP="007A3B85">
      <w:pPr>
        <w:jc w:val="center"/>
        <w:rPr>
          <w:rFonts w:ascii="Times New Roman" w:hAnsi="Times New Roman" w:cs="Times New Roman"/>
          <w:bCs/>
          <w:i/>
          <w:sz w:val="28"/>
          <w:szCs w:val="28"/>
        </w:rPr>
      </w:pPr>
      <w:r w:rsidRPr="007A3B85">
        <w:rPr>
          <w:rFonts w:ascii="Times New Roman" w:hAnsi="Times New Roman" w:cs="Times New Roman"/>
          <w:b/>
          <w:bCs/>
          <w:i/>
          <w:sz w:val="28"/>
          <w:szCs w:val="28"/>
          <w:lang w:val="kk-KZ"/>
        </w:rPr>
        <w:t>Распределение набранных баллов респондентами по блокам «Ориентация» и «Отсроченное воспроизведение»</w:t>
      </w:r>
    </w:p>
    <w:p w14:paraId="595725D5" w14:textId="753AEC7D" w:rsidR="007A3B85" w:rsidRDefault="007A3B85" w:rsidP="007A3B85">
      <w:pPr>
        <w:jc w:val="center"/>
        <w:rPr>
          <w:rFonts w:ascii="Times New Roman" w:hAnsi="Times New Roman" w:cs="Times New Roman"/>
          <w:bCs/>
          <w:i/>
          <w:sz w:val="28"/>
          <w:szCs w:val="28"/>
        </w:rPr>
      </w:pPr>
    </w:p>
    <w:p w14:paraId="708F5E82" w14:textId="77777777" w:rsidR="007A3B85" w:rsidRDefault="007A3B85" w:rsidP="007A3B85">
      <w:pPr>
        <w:jc w:val="center"/>
        <w:rPr>
          <w:rFonts w:ascii="Times New Roman" w:hAnsi="Times New Roman" w:cs="Times New Roman"/>
          <w:bCs/>
          <w:i/>
          <w:sz w:val="28"/>
          <w:szCs w:val="28"/>
        </w:rPr>
      </w:pPr>
    </w:p>
    <w:p w14:paraId="26B9F1F1" w14:textId="77777777" w:rsidR="00EF20E5" w:rsidRDefault="00EF20E5" w:rsidP="00EF20E5">
      <w:pPr>
        <w:jc w:val="center"/>
        <w:rPr>
          <w:rFonts w:ascii="Times New Roman" w:hAnsi="Times New Roman" w:cs="Times New Roman"/>
          <w:bCs/>
          <w:i/>
          <w:sz w:val="28"/>
          <w:szCs w:val="28"/>
        </w:rPr>
      </w:pPr>
    </w:p>
    <w:p w14:paraId="56F106FB" w14:textId="77777777" w:rsidR="00EF20E5" w:rsidRPr="00EF20E5" w:rsidRDefault="00EF20E5" w:rsidP="00EF20E5">
      <w:pPr>
        <w:jc w:val="center"/>
        <w:rPr>
          <w:rFonts w:ascii="Times New Roman" w:hAnsi="Times New Roman" w:cs="Times New Roman"/>
          <w:i/>
          <w:sz w:val="28"/>
          <w:szCs w:val="28"/>
        </w:rPr>
      </w:pPr>
    </w:p>
    <w:p w14:paraId="225064D3" w14:textId="37D1483C" w:rsidR="00EF20E5" w:rsidRPr="00EF20E5" w:rsidRDefault="00EF20E5" w:rsidP="00EF20E5">
      <w:pPr>
        <w:jc w:val="center"/>
        <w:rPr>
          <w:rFonts w:ascii="Times New Roman" w:hAnsi="Times New Roman" w:cs="Times New Roman"/>
          <w:i/>
          <w:sz w:val="28"/>
          <w:szCs w:val="28"/>
        </w:rPr>
      </w:pPr>
    </w:p>
    <w:p w14:paraId="6DF23894" w14:textId="7BA2357C" w:rsidR="00F86491" w:rsidRDefault="00F86491" w:rsidP="00F86491">
      <w:pPr>
        <w:jc w:val="center"/>
        <w:rPr>
          <w:rStyle w:val="a9"/>
          <w:rFonts w:ascii="Times New Roman" w:hAnsi="Times New Roman" w:cs="Times New Roman"/>
          <w:i/>
          <w:color w:val="auto"/>
          <w:sz w:val="32"/>
          <w:u w:val="none"/>
        </w:rPr>
      </w:pPr>
    </w:p>
    <w:p w14:paraId="6056CBF2" w14:textId="5412FD8F" w:rsidR="00F86491" w:rsidRDefault="00F86491" w:rsidP="00F86491">
      <w:pPr>
        <w:jc w:val="center"/>
        <w:rPr>
          <w:rStyle w:val="a9"/>
          <w:rFonts w:ascii="Times New Roman" w:hAnsi="Times New Roman" w:cs="Times New Roman"/>
          <w:i/>
          <w:color w:val="auto"/>
          <w:sz w:val="32"/>
          <w:u w:val="none"/>
        </w:rPr>
      </w:pPr>
    </w:p>
    <w:p w14:paraId="77962AB7" w14:textId="56F1B187" w:rsidR="004F5888" w:rsidRDefault="004F5888" w:rsidP="00F86491">
      <w:pPr>
        <w:jc w:val="center"/>
        <w:rPr>
          <w:rStyle w:val="a9"/>
          <w:rFonts w:ascii="Times New Roman" w:hAnsi="Times New Roman" w:cs="Times New Roman"/>
          <w:i/>
          <w:color w:val="auto"/>
          <w:sz w:val="32"/>
          <w:u w:val="none"/>
        </w:rPr>
      </w:pPr>
    </w:p>
    <w:p w14:paraId="11347C69" w14:textId="25957EFE" w:rsidR="004F5888" w:rsidRDefault="004F5888" w:rsidP="00F86491">
      <w:pPr>
        <w:jc w:val="center"/>
        <w:rPr>
          <w:rStyle w:val="a9"/>
          <w:rFonts w:ascii="Times New Roman" w:hAnsi="Times New Roman" w:cs="Times New Roman"/>
          <w:i/>
          <w:color w:val="auto"/>
          <w:sz w:val="32"/>
          <w:u w:val="none"/>
        </w:rPr>
      </w:pPr>
    </w:p>
    <w:p w14:paraId="7335AE9C" w14:textId="6D789CCB" w:rsidR="004F5888" w:rsidRDefault="004F5888" w:rsidP="00F86491">
      <w:pPr>
        <w:jc w:val="center"/>
        <w:rPr>
          <w:rStyle w:val="a9"/>
          <w:rFonts w:ascii="Times New Roman" w:hAnsi="Times New Roman" w:cs="Times New Roman"/>
          <w:i/>
          <w:color w:val="auto"/>
          <w:sz w:val="32"/>
          <w:u w:val="none"/>
        </w:rPr>
      </w:pPr>
    </w:p>
    <w:p w14:paraId="4723F6FB" w14:textId="49C6CFED" w:rsidR="004F5888" w:rsidRDefault="004F5888" w:rsidP="00F86491">
      <w:pPr>
        <w:jc w:val="center"/>
        <w:rPr>
          <w:rStyle w:val="a9"/>
          <w:rFonts w:ascii="Times New Roman" w:hAnsi="Times New Roman" w:cs="Times New Roman"/>
          <w:i/>
          <w:color w:val="auto"/>
          <w:sz w:val="32"/>
          <w:u w:val="none"/>
        </w:rPr>
      </w:pPr>
    </w:p>
    <w:p w14:paraId="1928C702" w14:textId="4C674D60" w:rsidR="004F5888" w:rsidRPr="00F86491" w:rsidRDefault="004F5888" w:rsidP="00F86491">
      <w:pPr>
        <w:jc w:val="center"/>
        <w:rPr>
          <w:rStyle w:val="a9"/>
          <w:rFonts w:ascii="Times New Roman" w:hAnsi="Times New Roman" w:cs="Times New Roman"/>
          <w:i/>
          <w:color w:val="auto"/>
          <w:sz w:val="32"/>
          <w:u w:val="none"/>
        </w:rPr>
      </w:pPr>
    </w:p>
    <w:p w14:paraId="091E2B2F" w14:textId="5F8B5275" w:rsidR="000869DF" w:rsidRPr="004F5888" w:rsidRDefault="008959E1" w:rsidP="004F5888">
      <w:pPr>
        <w:spacing w:line="240" w:lineRule="auto"/>
        <w:rPr>
          <w:rStyle w:val="a9"/>
          <w:rFonts w:ascii="Times New Roman" w:hAnsi="Times New Roman" w:cs="Times New Roman"/>
          <w:b/>
          <w:color w:val="auto"/>
          <w:sz w:val="28"/>
          <w:szCs w:val="28"/>
          <w:u w:val="none"/>
        </w:rPr>
      </w:pPr>
      <w:r w:rsidRPr="004F5888">
        <w:rPr>
          <w:rStyle w:val="a9"/>
          <w:rFonts w:ascii="Times New Roman" w:hAnsi="Times New Roman" w:cs="Times New Roman"/>
          <w:b/>
          <w:color w:val="auto"/>
          <w:sz w:val="28"/>
          <w:szCs w:val="28"/>
          <w:u w:val="none"/>
        </w:rPr>
        <w:lastRenderedPageBreak/>
        <w:t>Выводы</w:t>
      </w:r>
    </w:p>
    <w:p w14:paraId="6887D9EA" w14:textId="77777777" w:rsidR="008959E1" w:rsidRPr="004F5888" w:rsidRDefault="008959E1" w:rsidP="004F5888">
      <w:pPr>
        <w:spacing w:line="240" w:lineRule="auto"/>
        <w:rPr>
          <w:rFonts w:ascii="Times New Roman" w:hAnsi="Times New Roman" w:cs="Times New Roman"/>
          <w:sz w:val="28"/>
          <w:szCs w:val="28"/>
        </w:rPr>
      </w:pPr>
      <w:r w:rsidRPr="004F5888">
        <w:rPr>
          <w:rFonts w:ascii="Times New Roman" w:hAnsi="Times New Roman" w:cs="Times New Roman"/>
          <w:sz w:val="28"/>
          <w:szCs w:val="28"/>
        </w:rPr>
        <w:t>1.Ведущий фактор риска БА – гиподинамичный монотонный образ жизни с нездоровыми привычками. Распространенность БА в РК на протяжении последних 30 лет остается на стабильно низком уровне – 450 случаев на 100 тыс. населения, что в 1,5-3 раза ниже чем в РФ, Канаде, Австралии.</w:t>
      </w:r>
    </w:p>
    <w:p w14:paraId="3EBFCD09" w14:textId="77777777" w:rsidR="008959E1" w:rsidRPr="004F5888" w:rsidRDefault="008959E1"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 Средний балл респондентов 26,04(что соответствует норме). Что по шкале оценки когнитивных функций  соответствует  норме.49,6% опрошенных по Монреальской шкале имеют 26 баллов и выше, ниже 26 баллов имеет 50,4% опрошенных.</w:t>
      </w:r>
    </w:p>
    <w:p w14:paraId="5F29A2BE" w14:textId="77777777" w:rsidR="008959E1" w:rsidRPr="004F5888" w:rsidRDefault="008959E1"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3. Исследование показало, что наиболее «проблемные» блоки – «Отсроченное воспроизведение» и «Внимание». Рекомендуем комбинировать умственный и физический труд, следить за полноценностью циклов сна.</w:t>
      </w:r>
    </w:p>
    <w:p w14:paraId="5B553002" w14:textId="626C2D90" w:rsidR="008959E1" w:rsidRPr="004F5888" w:rsidRDefault="008959E1"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Предлагаем именно эти блоки МОСа использовать, как экспресс-тест для определения возможных когнитивных нарушений у широкого круга лиц (в том числе и младше 40 лет).</w:t>
      </w:r>
    </w:p>
    <w:p w14:paraId="6D5BCA87" w14:textId="77777777" w:rsidR="004413EA" w:rsidRPr="004F5888" w:rsidRDefault="004413EA" w:rsidP="004F5888">
      <w:pPr>
        <w:spacing w:after="0" w:line="240" w:lineRule="auto"/>
        <w:jc w:val="both"/>
        <w:rPr>
          <w:rFonts w:ascii="Times New Roman" w:hAnsi="Times New Roman" w:cs="Times New Roman"/>
          <w:bCs/>
          <w:sz w:val="28"/>
          <w:szCs w:val="28"/>
        </w:rPr>
      </w:pPr>
    </w:p>
    <w:p w14:paraId="75759287" w14:textId="77777777" w:rsidR="004413EA" w:rsidRPr="004F5888" w:rsidRDefault="004413EA" w:rsidP="004F5888">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4F5888">
        <w:rPr>
          <w:rFonts w:ascii="Times New Roman" w:eastAsia="Times New Roman" w:hAnsi="Times New Roman" w:cs="Times New Roman"/>
          <w:b/>
          <w:color w:val="000000"/>
          <w:sz w:val="28"/>
          <w:szCs w:val="28"/>
        </w:rPr>
        <w:t>Рекомендации.</w:t>
      </w:r>
    </w:p>
    <w:p w14:paraId="3A833E0E" w14:textId="77777777" w:rsidR="004413EA" w:rsidRPr="004F5888" w:rsidRDefault="004413EA" w:rsidP="004F5888">
      <w:pPr>
        <w:spacing w:after="0" w:line="240" w:lineRule="auto"/>
        <w:jc w:val="both"/>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1. Рекомендуем внедрение разработанного нами информационного листка Памятка «Как позабыть об Альцгеймере?».</w:t>
      </w:r>
    </w:p>
    <w:p w14:paraId="57F0600C" w14:textId="77777777" w:rsidR="004413EA" w:rsidRPr="004F5888" w:rsidRDefault="004413EA" w:rsidP="004F5888">
      <w:pPr>
        <w:spacing w:after="0" w:line="240" w:lineRule="auto"/>
        <w:jc w:val="both"/>
        <w:rPr>
          <w:rFonts w:ascii="Times New Roman" w:hAnsi="Times New Roman" w:cs="Times New Roman"/>
          <w:bCs/>
          <w:color w:val="000000" w:themeColor="text1"/>
          <w:sz w:val="28"/>
          <w:szCs w:val="28"/>
        </w:rPr>
      </w:pPr>
      <w:r w:rsidRPr="004F5888">
        <w:rPr>
          <w:rFonts w:ascii="Times New Roman" w:eastAsia="Times New Roman" w:hAnsi="Times New Roman" w:cs="Times New Roman"/>
          <w:color w:val="000000" w:themeColor="text1"/>
          <w:sz w:val="28"/>
          <w:szCs w:val="28"/>
        </w:rPr>
        <w:t xml:space="preserve">2. </w:t>
      </w:r>
      <w:r w:rsidRPr="004F5888">
        <w:rPr>
          <w:rFonts w:ascii="Times New Roman" w:hAnsi="Times New Roman" w:cs="Times New Roman"/>
          <w:bCs/>
          <w:color w:val="000000" w:themeColor="text1"/>
          <w:sz w:val="28"/>
          <w:szCs w:val="28"/>
        </w:rPr>
        <w:t>Предлагаем блоки «Отсроченное воспроизведение» и «Внимание» МоСа использовать, как экспресс-тест для определения возможных когнитивных нарушений у широкого круга лиц (в том числе и младше 40 лет).</w:t>
      </w:r>
    </w:p>
    <w:p w14:paraId="3BA198B5" w14:textId="4C1ECC35" w:rsidR="004413EA" w:rsidRPr="004F5888" w:rsidRDefault="004413EA" w:rsidP="004F5888">
      <w:pPr>
        <w:spacing w:after="0" w:line="240" w:lineRule="auto"/>
        <w:jc w:val="both"/>
        <w:rPr>
          <w:rFonts w:ascii="Times New Roman" w:eastAsia="Times New Roman" w:hAnsi="Times New Roman" w:cs="Times New Roman"/>
          <w:color w:val="000000" w:themeColor="text1"/>
          <w:sz w:val="28"/>
          <w:szCs w:val="28"/>
        </w:rPr>
      </w:pPr>
      <w:r w:rsidRPr="004F5888">
        <w:rPr>
          <w:rFonts w:ascii="Times New Roman" w:eastAsia="Times New Roman" w:hAnsi="Times New Roman" w:cs="Times New Roman"/>
          <w:color w:val="000000" w:themeColor="text1"/>
          <w:sz w:val="28"/>
          <w:szCs w:val="28"/>
        </w:rPr>
        <w:t xml:space="preserve">  </w:t>
      </w:r>
    </w:p>
    <w:p w14:paraId="548CDAF4" w14:textId="3AB8AA58" w:rsidR="004413EA" w:rsidRPr="004F5888" w:rsidRDefault="004413EA" w:rsidP="004F5888">
      <w:pPr>
        <w:spacing w:after="0" w:line="240" w:lineRule="auto"/>
        <w:jc w:val="both"/>
        <w:rPr>
          <w:rFonts w:ascii="Times New Roman" w:eastAsia="Times New Roman" w:hAnsi="Times New Roman" w:cs="Times New Roman"/>
          <w:color w:val="000000" w:themeColor="text1"/>
          <w:sz w:val="28"/>
          <w:szCs w:val="28"/>
        </w:rPr>
      </w:pPr>
    </w:p>
    <w:p w14:paraId="596BB46E" w14:textId="13F5BE39" w:rsidR="004413EA" w:rsidRPr="004F5888" w:rsidRDefault="004413EA" w:rsidP="004F5888">
      <w:pPr>
        <w:spacing w:after="0" w:line="240" w:lineRule="auto"/>
        <w:jc w:val="both"/>
        <w:rPr>
          <w:rFonts w:ascii="Times New Roman" w:eastAsia="Times New Roman" w:hAnsi="Times New Roman" w:cs="Times New Roman"/>
          <w:color w:val="000000" w:themeColor="text1"/>
          <w:sz w:val="28"/>
          <w:szCs w:val="28"/>
        </w:rPr>
      </w:pPr>
    </w:p>
    <w:p w14:paraId="558F5783" w14:textId="3C61071B" w:rsidR="004413EA" w:rsidRDefault="004413EA" w:rsidP="004F5888">
      <w:pPr>
        <w:spacing w:after="0" w:line="240" w:lineRule="auto"/>
        <w:jc w:val="both"/>
        <w:rPr>
          <w:rFonts w:ascii="Times New Roman" w:eastAsia="Times New Roman" w:hAnsi="Times New Roman" w:cs="Times New Roman"/>
          <w:color w:val="000000" w:themeColor="text1"/>
          <w:sz w:val="28"/>
          <w:szCs w:val="28"/>
        </w:rPr>
      </w:pPr>
    </w:p>
    <w:p w14:paraId="715A7657" w14:textId="367AD826"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21C2FD0D" w14:textId="5072ADFE"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5A89D40C" w14:textId="7498A3FA"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1ED7A2F0" w14:textId="51928111"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7C6E45A2" w14:textId="2D725D9A"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177D9944" w14:textId="486D81A5"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2C137CC5" w14:textId="02A665A4"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4495F069" w14:textId="4734CFF4"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501A8C05" w14:textId="257A877E"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68ACA0EC" w14:textId="41A667C2"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27E75824" w14:textId="712D2EAC"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6D647544" w14:textId="41F3AA6A"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3BDD6FF6" w14:textId="391D06D6"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299C0ABF" w14:textId="62551468"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74FCBD82" w14:textId="1EFF1B5D" w:rsid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3BC9916F" w14:textId="77777777" w:rsidR="004F5888" w:rsidRPr="004F5888" w:rsidRDefault="004F5888" w:rsidP="004F5888">
      <w:pPr>
        <w:spacing w:after="0" w:line="240" w:lineRule="auto"/>
        <w:jc w:val="both"/>
        <w:rPr>
          <w:rFonts w:ascii="Times New Roman" w:eastAsia="Times New Roman" w:hAnsi="Times New Roman" w:cs="Times New Roman"/>
          <w:color w:val="000000" w:themeColor="text1"/>
          <w:sz w:val="28"/>
          <w:szCs w:val="28"/>
        </w:rPr>
      </w:pPr>
    </w:p>
    <w:p w14:paraId="35AF8091" w14:textId="28E41CE9" w:rsidR="004413EA" w:rsidRPr="004F5888" w:rsidRDefault="004413EA" w:rsidP="004F5888">
      <w:pPr>
        <w:spacing w:after="0" w:line="240" w:lineRule="auto"/>
        <w:jc w:val="both"/>
        <w:rPr>
          <w:rFonts w:ascii="Times New Roman" w:eastAsia="Times New Roman" w:hAnsi="Times New Roman" w:cs="Times New Roman"/>
          <w:color w:val="000000" w:themeColor="text1"/>
          <w:sz w:val="28"/>
          <w:szCs w:val="28"/>
        </w:rPr>
      </w:pPr>
    </w:p>
    <w:p w14:paraId="5CD7D8E3" w14:textId="0F9C2343" w:rsidR="004413EA" w:rsidRPr="004F5888" w:rsidRDefault="004413EA" w:rsidP="004F5888">
      <w:pPr>
        <w:spacing w:after="0" w:line="240" w:lineRule="auto"/>
        <w:jc w:val="both"/>
        <w:rPr>
          <w:rFonts w:ascii="Times New Roman" w:eastAsia="Times New Roman" w:hAnsi="Times New Roman" w:cs="Times New Roman"/>
          <w:color w:val="000000" w:themeColor="text1"/>
          <w:sz w:val="28"/>
          <w:szCs w:val="28"/>
        </w:rPr>
      </w:pPr>
    </w:p>
    <w:p w14:paraId="5A0928BA" w14:textId="2C6C5A70" w:rsidR="004413EA" w:rsidRPr="004F5888" w:rsidRDefault="004413EA" w:rsidP="004F5888">
      <w:pPr>
        <w:spacing w:after="0" w:line="240" w:lineRule="auto"/>
        <w:jc w:val="both"/>
        <w:rPr>
          <w:rFonts w:ascii="Times New Roman" w:eastAsia="Times New Roman" w:hAnsi="Times New Roman" w:cs="Times New Roman"/>
          <w:color w:val="000000" w:themeColor="text1"/>
          <w:sz w:val="28"/>
          <w:szCs w:val="28"/>
        </w:rPr>
      </w:pPr>
    </w:p>
    <w:p w14:paraId="53D63F9F" w14:textId="77777777" w:rsidR="004413EA" w:rsidRPr="004F5888" w:rsidRDefault="004413EA" w:rsidP="004F5888">
      <w:pPr>
        <w:spacing w:after="0" w:line="240" w:lineRule="auto"/>
        <w:jc w:val="both"/>
        <w:rPr>
          <w:rFonts w:ascii="Times New Roman" w:eastAsia="Times New Roman" w:hAnsi="Times New Roman" w:cs="Times New Roman"/>
          <w:color w:val="000000" w:themeColor="text1"/>
          <w:sz w:val="28"/>
          <w:szCs w:val="28"/>
        </w:rPr>
      </w:pPr>
    </w:p>
    <w:p w14:paraId="724B1DE0" w14:textId="740185E5" w:rsidR="007E65F5" w:rsidRPr="004F5888" w:rsidRDefault="004413EA" w:rsidP="004F5888">
      <w:pPr>
        <w:spacing w:after="0" w:line="240" w:lineRule="auto"/>
        <w:jc w:val="both"/>
        <w:rPr>
          <w:rFonts w:ascii="Times New Roman" w:eastAsia="Times New Roman" w:hAnsi="Times New Roman" w:cs="Times New Roman"/>
          <w:b/>
          <w:sz w:val="28"/>
          <w:szCs w:val="28"/>
        </w:rPr>
      </w:pPr>
      <w:r w:rsidRPr="004F5888">
        <w:rPr>
          <w:rFonts w:ascii="Times New Roman" w:eastAsia="Times New Roman" w:hAnsi="Times New Roman" w:cs="Times New Roman"/>
          <w:b/>
          <w:sz w:val="28"/>
          <w:szCs w:val="28"/>
        </w:rPr>
        <w:t>СПИСОК ИСПОЛЬЗОВАННОЙ ЛИТЕРАТУРЫ</w:t>
      </w:r>
    </w:p>
    <w:p w14:paraId="797AAA1C" w14:textId="77777777" w:rsidR="004F5888" w:rsidRPr="004F5888" w:rsidRDefault="004F5888" w:rsidP="004F5888">
      <w:pPr>
        <w:spacing w:after="0" w:line="240" w:lineRule="auto"/>
        <w:jc w:val="both"/>
        <w:rPr>
          <w:rStyle w:val="a9"/>
          <w:rFonts w:ascii="Times New Roman" w:eastAsia="Times New Roman" w:hAnsi="Times New Roman" w:cs="Times New Roman"/>
          <w:b/>
          <w:color w:val="auto"/>
          <w:sz w:val="28"/>
          <w:szCs w:val="28"/>
          <w:u w:val="none"/>
        </w:rPr>
      </w:pPr>
    </w:p>
    <w:p w14:paraId="7B1D1148" w14:textId="24820CA9" w:rsidR="002E58DE" w:rsidRPr="004F5888" w:rsidRDefault="002E58DE" w:rsidP="004F5888">
      <w:pPr>
        <w:spacing w:after="0" w:line="240" w:lineRule="auto"/>
        <w:rPr>
          <w:rFonts w:ascii="Times New Roman" w:hAnsi="Times New Roman" w:cs="Times New Roman"/>
          <w:sz w:val="28"/>
          <w:szCs w:val="28"/>
          <w:u w:val="single"/>
        </w:rPr>
      </w:pPr>
      <w:r w:rsidRPr="004F5888">
        <w:rPr>
          <w:rFonts w:ascii="Times New Roman" w:hAnsi="Times New Roman" w:cs="Times New Roman"/>
          <w:sz w:val="28"/>
          <w:szCs w:val="28"/>
        </w:rPr>
        <w:t>1-</w:t>
      </w:r>
      <w:hyperlink r:id="rId65" w:history="1">
        <w:r w:rsidRPr="004F5888">
          <w:rPr>
            <w:rStyle w:val="a9"/>
            <w:rFonts w:ascii="Times New Roman" w:hAnsi="Times New Roman" w:cs="Times New Roman"/>
            <w:color w:val="auto"/>
            <w:sz w:val="28"/>
            <w:szCs w:val="28"/>
          </w:rPr>
          <w:t>https://www.polismed.com/articles-bolezn-al-cgejjmera-prichiny-simptomy-diagnostika-i-lechenie.html</w:t>
        </w:r>
      </w:hyperlink>
    </w:p>
    <w:p w14:paraId="3DE188CE" w14:textId="104A22ED" w:rsidR="00EA503E" w:rsidRPr="004F5888" w:rsidRDefault="00EA503E"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 Солтаева М.А. Влияние наследственных факторов на развитие болезни Альцгеймера ФГБОУ ВО Саратовский ГМУ им. В.И. Разумовского Минздрава России, кафедра общей биологии, фармакогнозии и ботаники Научный руководитель: д.б.н. Дурнова Н.А.</w:t>
      </w:r>
    </w:p>
    <w:p w14:paraId="21E5A130" w14:textId="3E580BB0" w:rsidR="00EA503E" w:rsidRPr="004F5888" w:rsidRDefault="00EA503E"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3-</w:t>
      </w:r>
      <w:hyperlink r:id="rId66" w:history="1">
        <w:r w:rsidRPr="004F5888">
          <w:rPr>
            <w:rStyle w:val="a9"/>
            <w:rFonts w:ascii="Times New Roman" w:hAnsi="Times New Roman" w:cs="Times New Roman"/>
            <w:color w:val="auto"/>
            <w:sz w:val="28"/>
            <w:szCs w:val="28"/>
          </w:rPr>
          <w:t>https://patenton.ru/patent/RU2663451C1</w:t>
        </w:r>
      </w:hyperlink>
    </w:p>
    <w:p w14:paraId="39B0D126" w14:textId="0A6D6791" w:rsidR="00EA503E" w:rsidRPr="004F5888" w:rsidRDefault="00EA503E"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4-</w:t>
      </w:r>
      <w:hyperlink r:id="rId67" w:history="1">
        <w:r w:rsidRPr="004F5888">
          <w:rPr>
            <w:rStyle w:val="a9"/>
            <w:rFonts w:ascii="Times New Roman" w:hAnsi="Times New Roman" w:cs="Times New Roman"/>
            <w:color w:val="auto"/>
            <w:sz w:val="28"/>
            <w:szCs w:val="28"/>
          </w:rPr>
          <w:t>https://patenton.ru/patent/RU2663451C1</w:t>
        </w:r>
      </w:hyperlink>
    </w:p>
    <w:p w14:paraId="5B17F2F2" w14:textId="40D01757" w:rsidR="00EA503E" w:rsidRPr="004F5888" w:rsidRDefault="00EA503E"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5- Интегральная оценка факторов риска развития болезни Альцгеймера Tolibov D.S., Rakhimbayeva G.S. Tashkent Medical Academy, Uzbekistan Integral evaluation of risk factors of the development of the Alzgeimer’s disease Толибов Д.С., Рахимбаева Г.С. Ташкентская медицинская академия, Узбекистан</w:t>
      </w:r>
    </w:p>
    <w:p w14:paraId="222ACDEA" w14:textId="35112EDF" w:rsidR="00EA503E" w:rsidRPr="004F5888" w:rsidRDefault="00EA503E"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6- А.Н. БОГОЛЕПОВА, д.м.н., профессор, Российский национальный исследовательский медицинский университет им. Н.И. Пирогова, кафедра неврологии, нейрохирургии и медицинской генетики, Москва МОДИФИЦИРУЕМЫЕ ФАКТОРЫ РИСКА И СОВРЕМЕ</w:t>
      </w:r>
      <w:r w:rsidR="00F86491" w:rsidRPr="004F5888">
        <w:rPr>
          <w:rFonts w:ascii="Times New Roman" w:hAnsi="Times New Roman" w:cs="Times New Roman"/>
          <w:sz w:val="28"/>
          <w:szCs w:val="28"/>
        </w:rPr>
        <w:t>ННЫЕ ПОДХОДЫ К ТЕРАПИИ ДЕМЕНЦИИ</w:t>
      </w:r>
    </w:p>
    <w:p w14:paraId="3E60548C" w14:textId="02036BD7" w:rsidR="00EA503E" w:rsidRPr="004F5888" w:rsidRDefault="00EA503E"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7-</w:t>
      </w:r>
      <w:hyperlink r:id="rId68" w:history="1">
        <w:r w:rsidRPr="004F5888">
          <w:rPr>
            <w:rStyle w:val="a9"/>
            <w:rFonts w:ascii="Times New Roman" w:hAnsi="Times New Roman" w:cs="Times New Roman"/>
            <w:color w:val="auto"/>
            <w:sz w:val="28"/>
            <w:szCs w:val="28"/>
          </w:rPr>
          <w:t>https://patenton.ru/patent/RU2663451C1</w:t>
        </w:r>
      </w:hyperlink>
    </w:p>
    <w:p w14:paraId="13FE32C1" w14:textId="1555042F" w:rsidR="00EA503E" w:rsidRPr="004F5888" w:rsidRDefault="00EA503E"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8-</w:t>
      </w:r>
      <w:hyperlink r:id="rId69" w:history="1">
        <w:r w:rsidRPr="004F5888">
          <w:rPr>
            <w:rStyle w:val="a9"/>
            <w:rFonts w:ascii="Times New Roman" w:hAnsi="Times New Roman" w:cs="Times New Roman"/>
            <w:color w:val="auto"/>
            <w:sz w:val="28"/>
            <w:szCs w:val="28"/>
          </w:rPr>
          <w:t>https://cyberleninka.ru/article/n/mozg-i-mikrobiota-neyroendokrinnye-i-geriatricheskie-aspekty/viewer</w:t>
        </w:r>
      </w:hyperlink>
    </w:p>
    <w:p w14:paraId="0BDB473E" w14:textId="628BD67C" w:rsidR="00EA503E" w:rsidRPr="004F5888" w:rsidRDefault="00EA503E"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9- А.Н. БОГОЛЕПОВА, д.м.н., профессор, Российский национальный исследовательский медицинский университет им. Н.И. Пирогова, кафедра неврологии, нейрохирургии и медицинской генетики, Москва МОДИФИЦИРУЕМЫЕ ФАКТОРЫ РИСКА И СОВРЕМЕ</w:t>
      </w:r>
      <w:r w:rsidR="00F86491" w:rsidRPr="004F5888">
        <w:rPr>
          <w:rFonts w:ascii="Times New Roman" w:hAnsi="Times New Roman" w:cs="Times New Roman"/>
          <w:sz w:val="28"/>
          <w:szCs w:val="28"/>
        </w:rPr>
        <w:t>ННЫЕ ПОДХОДЫ К ТЕРАПИИ ДЕМЕНЦИИ</w:t>
      </w:r>
    </w:p>
    <w:p w14:paraId="434387F4" w14:textId="4CA22CDE" w:rsidR="00EA503E" w:rsidRPr="004F5888" w:rsidRDefault="00EA503E"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10</w:t>
      </w:r>
      <w:r w:rsidR="0040337B" w:rsidRPr="004F5888">
        <w:rPr>
          <w:rFonts w:ascii="Times New Roman" w:hAnsi="Times New Roman" w:cs="Times New Roman"/>
          <w:sz w:val="28"/>
          <w:szCs w:val="28"/>
        </w:rPr>
        <w:t xml:space="preserve">- </w:t>
      </w:r>
      <w:hyperlink r:id="rId70" w:history="1">
        <w:r w:rsidR="0040337B" w:rsidRPr="004F5888">
          <w:rPr>
            <w:rStyle w:val="a9"/>
            <w:rFonts w:ascii="Times New Roman" w:hAnsi="Times New Roman" w:cs="Times New Roman"/>
            <w:color w:val="auto"/>
            <w:sz w:val="28"/>
            <w:szCs w:val="28"/>
          </w:rPr>
          <w:t>https://cyberleninka.ru/article/n/sovremennyy-vzglyad-na-vozmozhnosti-profilaktiki-dementsii</w:t>
        </w:r>
      </w:hyperlink>
    </w:p>
    <w:p w14:paraId="4BE52451" w14:textId="35FE7DBB" w:rsidR="0040337B" w:rsidRPr="004F5888" w:rsidRDefault="0040337B"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11-</w:t>
      </w:r>
      <w:hyperlink r:id="rId71" w:history="1">
        <w:r w:rsidRPr="004F5888">
          <w:rPr>
            <w:rStyle w:val="a9"/>
            <w:rFonts w:ascii="Times New Roman" w:hAnsi="Times New Roman" w:cs="Times New Roman"/>
            <w:color w:val="auto"/>
            <w:sz w:val="28"/>
            <w:szCs w:val="28"/>
          </w:rPr>
          <w:t>https://cyberleninka.ru/article/n/genetika-i-epigenetika-sna-i-snovideniy</w:t>
        </w:r>
      </w:hyperlink>
    </w:p>
    <w:p w14:paraId="3C156DFE" w14:textId="7659FEF3" w:rsidR="0040337B" w:rsidRPr="004F5888" w:rsidRDefault="0040337B"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12- РАСПРОСТРАНЕННОСТЬ И ФАКТОРЫ РИСКА РАЗВИТИЯ ДЕМЕНЦИЙ АЛЬЦГЕЙМЕРОВСКОГО ТИПА</w:t>
      </w:r>
    </w:p>
    <w:p w14:paraId="1D2978A0" w14:textId="77777777" w:rsidR="0040337B" w:rsidRPr="004F5888" w:rsidRDefault="0040337B"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Я. Б. Калын, А. Л. Брацун</w:t>
      </w:r>
    </w:p>
    <w:p w14:paraId="5B055350" w14:textId="3DCC0312" w:rsidR="0040337B" w:rsidRPr="004F5888" w:rsidRDefault="0040337B"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Научно-методический центр по изучению болезни Альцгеймера и ассоциированных с ней расстройств НЦПЗРАМН, Москва</w:t>
      </w:r>
    </w:p>
    <w:p w14:paraId="569E9BE2" w14:textId="5EAFE4CB" w:rsidR="0040337B" w:rsidRPr="004F5888" w:rsidRDefault="0040337B"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13-  А.Н. БОГОЛЕПОВА, д.м.н., профессор, Российский национальный исследовательский медицинский университет им. Н.И. Пирогова, кафедра неврологии, нейрохирургии и медицинской генетики,Москва</w:t>
      </w:r>
    </w:p>
    <w:p w14:paraId="44A4431F" w14:textId="238ED81E" w:rsidR="00F46488" w:rsidRPr="004F5888" w:rsidRDefault="00F46488"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14-</w:t>
      </w:r>
      <w:hyperlink r:id="rId72" w:history="1">
        <w:r w:rsidRPr="004F5888">
          <w:rPr>
            <w:rStyle w:val="a9"/>
            <w:rFonts w:ascii="Times New Roman" w:hAnsi="Times New Roman" w:cs="Times New Roman"/>
            <w:color w:val="auto"/>
            <w:sz w:val="28"/>
            <w:szCs w:val="28"/>
          </w:rPr>
          <w:t>https://cyberleninka.ru/article/n/mozg-i-mikrobiota-neyroendokrinnye-i-geriatricheskie-aspekty/viewer</w:t>
        </w:r>
      </w:hyperlink>
    </w:p>
    <w:p w14:paraId="3A05BA56" w14:textId="2C54FB2E" w:rsidR="00F46488" w:rsidRPr="004F5888" w:rsidRDefault="00F46488"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 xml:space="preserve">15- </w:t>
      </w:r>
      <w:hyperlink r:id="rId73" w:history="1">
        <w:r w:rsidRPr="004F5888">
          <w:rPr>
            <w:rStyle w:val="a9"/>
            <w:rFonts w:ascii="Times New Roman" w:hAnsi="Times New Roman" w:cs="Times New Roman"/>
            <w:color w:val="auto"/>
            <w:sz w:val="28"/>
            <w:szCs w:val="28"/>
          </w:rPr>
          <w:t>https://tass.ru/plus-one/5417370</w:t>
        </w:r>
      </w:hyperlink>
    </w:p>
    <w:p w14:paraId="2FD2A985" w14:textId="71640E67" w:rsidR="00F46488" w:rsidRPr="004F5888" w:rsidRDefault="00F46488"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lastRenderedPageBreak/>
        <w:t>16-</w:t>
      </w:r>
      <w:hyperlink r:id="rId74" w:history="1">
        <w:r w:rsidRPr="004F5888">
          <w:rPr>
            <w:rStyle w:val="a9"/>
            <w:rFonts w:ascii="Times New Roman" w:hAnsi="Times New Roman" w:cs="Times New Roman"/>
            <w:color w:val="auto"/>
            <w:sz w:val="28"/>
            <w:szCs w:val="28"/>
          </w:rPr>
          <w:t>https://blogs.scientificamerican.com/observations/to-prevent-alzheimers-we-must-study-differences-between-the-sexes/</w:t>
        </w:r>
      </w:hyperlink>
    </w:p>
    <w:p w14:paraId="268968DA" w14:textId="01B88602" w:rsidR="00F46488" w:rsidRPr="004F5888" w:rsidRDefault="00F46488"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 xml:space="preserve">17- </w:t>
      </w:r>
      <w:hyperlink r:id="rId75" w:history="1">
        <w:r w:rsidR="007533D3" w:rsidRPr="004F5888">
          <w:rPr>
            <w:rStyle w:val="a9"/>
            <w:rFonts w:ascii="Times New Roman" w:hAnsi="Times New Roman" w:cs="Times New Roman"/>
            <w:color w:val="auto"/>
            <w:sz w:val="28"/>
            <w:szCs w:val="28"/>
          </w:rPr>
          <w:t>https://www.elibrary.ru/item.asp?id=38578844</w:t>
        </w:r>
      </w:hyperlink>
    </w:p>
    <w:p w14:paraId="459DCF22" w14:textId="0D8E56FC" w:rsidR="007533D3" w:rsidRPr="004F5888" w:rsidRDefault="007533D3"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18-</w:t>
      </w:r>
      <w:hyperlink r:id="rId76" w:history="1">
        <w:r w:rsidRPr="004F5888">
          <w:rPr>
            <w:rStyle w:val="a9"/>
            <w:rFonts w:ascii="Times New Roman" w:hAnsi="Times New Roman" w:cs="Times New Roman"/>
            <w:color w:val="auto"/>
            <w:sz w:val="28"/>
            <w:szCs w:val="28"/>
          </w:rPr>
          <w:t>https://cyberleninka.ru/article/n/neyroseti-neyroendokrinologiya-i-bolezn-altsgeymera/viewer</w:t>
        </w:r>
      </w:hyperlink>
    </w:p>
    <w:p w14:paraId="170CCB66" w14:textId="6D49CE0A" w:rsidR="007533D3" w:rsidRPr="004F5888" w:rsidRDefault="007533D3"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 xml:space="preserve">19- СПОСОБ ДИФФЕРЕНЦИАЛЬНОЙ ДИАГНОСТИКИ БОЛЕЗНИ АЛЬЦГЕЙМЕРА, </w:t>
      </w:r>
      <w:r w:rsidR="00F86491" w:rsidRPr="004F5888">
        <w:rPr>
          <w:rFonts w:ascii="Times New Roman" w:hAnsi="Times New Roman" w:cs="Times New Roman"/>
          <w:sz w:val="28"/>
          <w:szCs w:val="28"/>
        </w:rPr>
        <w:t xml:space="preserve">СОСУДИСТОЙ И СМЕШАННОЙ ДЕМЕНЦИИ,Авторы: </w:t>
      </w:r>
      <w:r w:rsidRPr="004F5888">
        <w:rPr>
          <w:rFonts w:ascii="Times New Roman" w:hAnsi="Times New Roman" w:cs="Times New Roman"/>
          <w:sz w:val="28"/>
          <w:szCs w:val="28"/>
        </w:rPr>
        <w:t>Лобзин Владимир Юрьевич Григорьев Степан Григорьевич Емелин Андрей Юрьевич</w:t>
      </w:r>
    </w:p>
    <w:p w14:paraId="71221EDC" w14:textId="01C00221" w:rsidR="007533D3" w:rsidRPr="004F5888" w:rsidRDefault="007533D3"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Федеральное государственное бюджетное военное образовательное учреждение высшего профессионального образования Военно-медицинская академия им. С.М. Кирова Министерства обороны Российской Федерации (ВМедА)</w:t>
      </w:r>
    </w:p>
    <w:p w14:paraId="2CDF5E20" w14:textId="51D64866" w:rsidR="007533D3" w:rsidRPr="004F5888" w:rsidRDefault="007533D3"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20- НЕЙРОХИРУРГИЯ И НЕВРОЛОГИЯ КАЗАХСТАНА №4 (49), 2017 УДК 616.892.32(574.24) Д.С. Альжанова1 , А.С. Жусупова1 , К.К. Альмаханова1 , Ш.Н. Аскарова2 , А. Кайырлықызы2 , Д.Р. Садыкова1 1 АО «Медицинский университет Астана», г. Астана, Казахстан 2 Центр наук о жизни, Национальная лаборатория Астана, Назарбаев Университет, г. Астана, Казахстан ПРОБЛЕМА ВОЗРАСТНОЙ ДЕМЕНЦИИ В АСТАНе</w:t>
      </w:r>
    </w:p>
    <w:p w14:paraId="24A45C47" w14:textId="6D7AC442" w:rsidR="007533D3" w:rsidRPr="004F5888" w:rsidRDefault="007533D3"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21-1Д.С. Сейдуманов, 2 Г.К. Аширбеков 1Казахстанский медицинский университет «ВШОЗ», г. Алматы 2Международный казахско-турецкий университет имени К.А. Яссави, г. Туркестан ДИАГНОСТИЧЕСКОЕ ИССЛЕДОВАНИЕ КОГНИТИВНОГО НАРУШЕНИЯ ПРИ БОЛЕЗНИ АЛЬЦГЕЙМЕРА</w:t>
      </w:r>
    </w:p>
    <w:p w14:paraId="3E1E65C2" w14:textId="19C8194E" w:rsidR="007533D3" w:rsidRPr="004F5888" w:rsidRDefault="007533D3" w:rsidP="004F5888">
      <w:pPr>
        <w:spacing w:after="0" w:line="240" w:lineRule="auto"/>
        <w:rPr>
          <w:rFonts w:ascii="Times New Roman" w:hAnsi="Times New Roman" w:cs="Times New Roman"/>
          <w:sz w:val="28"/>
          <w:szCs w:val="28"/>
        </w:rPr>
      </w:pPr>
    </w:p>
    <w:p w14:paraId="177CAF0E" w14:textId="37430AA1" w:rsidR="007533D3" w:rsidRPr="004F5888" w:rsidRDefault="007533D3"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22- Критерии оценки когнитивных нарушений в клинических исследованиях Criteria for Assessment of Cognitive Impairment in Cl</w:t>
      </w:r>
      <w:r w:rsidR="000F2951" w:rsidRPr="004F5888">
        <w:rPr>
          <w:rFonts w:ascii="Times New Roman" w:hAnsi="Times New Roman" w:cs="Times New Roman"/>
          <w:sz w:val="28"/>
          <w:szCs w:val="28"/>
        </w:rPr>
        <w:t>inical Trials А. П. Соловьева*</w:t>
      </w:r>
      <w:r w:rsidRPr="004F5888">
        <w:rPr>
          <w:rFonts w:ascii="Times New Roman" w:hAnsi="Times New Roman" w:cs="Times New Roman"/>
          <w:sz w:val="28"/>
          <w:szCs w:val="28"/>
        </w:rPr>
        <w:t>, Д. В. Горячев, В. В. Архипов A. P. Solovyova* , D. V. Goryachev, V. V. Arkhipov Федеральное государственное бюджетное учреждение «Научный центр экспертизы средств медицинского применения» Министерства здравоохранения Российской Федерации, Петровский б-р, д. 8, стр. 2, Москва, 127051, Российская Федерация</w:t>
      </w:r>
    </w:p>
    <w:p w14:paraId="44379022" w14:textId="271C187F" w:rsidR="007533D3" w:rsidRPr="004F5888" w:rsidRDefault="007533D3"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23- ОПЫТ КЛИНИЧЕСКОГО ПРИМЕНЕНИЯ МЕТОДА ИНТЕГРАЛЬНОЙ ГРАФИЧЕСКОЙ ГЕОМЕТРИЧЕСКОЙ ЛОГАРИФМИЧЕСКОЙ ОЦЕНКИ КОГНИТИВНЫХ ФУНКЦИЙ С.В Муравьёв1,2, В.Г. Черкасова1,4, М.В. Вецлер3 , П.Н. Чайников1 , М.А. Ковалёв1 , С.И. Селезнёва2,4</w:t>
      </w:r>
    </w:p>
    <w:p w14:paraId="19560730" w14:textId="73C9ED59" w:rsidR="007533D3" w:rsidRPr="004F5888" w:rsidRDefault="007533D3"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24-</w:t>
      </w:r>
      <w:hyperlink r:id="rId77" w:history="1">
        <w:r w:rsidRPr="004F5888">
          <w:rPr>
            <w:rStyle w:val="a9"/>
            <w:rFonts w:ascii="Times New Roman" w:hAnsi="Times New Roman" w:cs="Times New Roman"/>
            <w:color w:val="auto"/>
            <w:sz w:val="28"/>
            <w:szCs w:val="28"/>
          </w:rPr>
          <w:t>https://www.cochranelibrary.com/cdsr/doi/10.1002/14651858.CD010860.pub2/full</w:t>
        </w:r>
      </w:hyperlink>
    </w:p>
    <w:p w14:paraId="5D6A042A" w14:textId="19BE8E80" w:rsidR="00AC352A" w:rsidRPr="004F5888" w:rsidRDefault="00AC352A"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25-</w:t>
      </w:r>
      <w:hyperlink r:id="rId78" w:history="1">
        <w:r w:rsidRPr="004F5888">
          <w:rPr>
            <w:rStyle w:val="a9"/>
            <w:rFonts w:ascii="Times New Roman" w:hAnsi="Times New Roman" w:cs="Times New Roman"/>
            <w:color w:val="auto"/>
            <w:sz w:val="28"/>
            <w:szCs w:val="28"/>
          </w:rPr>
          <w:t>https://patenton.ru/patent/RU2496465C1</w:t>
        </w:r>
      </w:hyperlink>
    </w:p>
    <w:p w14:paraId="5B926DF5" w14:textId="6E06DD4F" w:rsidR="00AC352A" w:rsidRPr="004F5888" w:rsidRDefault="00AC352A"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26-</w:t>
      </w:r>
      <w:hyperlink r:id="rId79" w:history="1">
        <w:r w:rsidRPr="004F5888">
          <w:rPr>
            <w:rStyle w:val="a9"/>
            <w:rFonts w:ascii="Times New Roman" w:hAnsi="Times New Roman" w:cs="Times New Roman"/>
            <w:color w:val="auto"/>
            <w:sz w:val="28"/>
            <w:szCs w:val="28"/>
          </w:rPr>
          <w:t>https://www.polismed.com/articles-bolezn-al-cgejjmera-prichiny-simptomy-diagnostika-i-lechenie.html</w:t>
        </w:r>
      </w:hyperlink>
    </w:p>
    <w:p w14:paraId="7C5723D8" w14:textId="77777777" w:rsidR="00AC352A" w:rsidRPr="004F5888" w:rsidRDefault="00AC352A"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27-</w:t>
      </w:r>
      <w:hyperlink r:id="rId80" w:history="1">
        <w:r w:rsidRPr="004F5888">
          <w:rPr>
            <w:rStyle w:val="a9"/>
            <w:rFonts w:ascii="Times New Roman" w:hAnsi="Times New Roman" w:cs="Times New Roman"/>
            <w:color w:val="auto"/>
            <w:sz w:val="28"/>
            <w:szCs w:val="28"/>
          </w:rPr>
          <w:t>https://www.cochranelibrary.com/cdsr/doi/10.1002/14651858.CD003260.pub2/full</w:t>
        </w:r>
      </w:hyperlink>
    </w:p>
    <w:p w14:paraId="36071107" w14:textId="3C554096" w:rsidR="00AC352A" w:rsidRPr="004F5888" w:rsidRDefault="00667E06" w:rsidP="004F5888">
      <w:pPr>
        <w:spacing w:after="0" w:line="240" w:lineRule="auto"/>
        <w:rPr>
          <w:rFonts w:ascii="Times New Roman" w:hAnsi="Times New Roman" w:cs="Times New Roman"/>
          <w:sz w:val="28"/>
          <w:szCs w:val="28"/>
        </w:rPr>
      </w:pPr>
      <w:hyperlink r:id="rId81" w:anchor="CD003260-bbs2-0006" w:history="1">
        <w:r w:rsidR="00AC352A" w:rsidRPr="004F5888">
          <w:rPr>
            <w:rStyle w:val="a9"/>
            <w:rFonts w:ascii="Times New Roman" w:hAnsi="Times New Roman" w:cs="Times New Roman"/>
            <w:color w:val="auto"/>
            <w:sz w:val="28"/>
            <w:szCs w:val="28"/>
          </w:rPr>
          <w:t>https://www.cochranelibrary.com/cdsr/doi/10.1002/14651858.CD003260.pub2/references#CD003260-bbs2-0006</w:t>
        </w:r>
      </w:hyperlink>
    </w:p>
    <w:p w14:paraId="0336B063" w14:textId="145AE5E2" w:rsidR="00AC352A" w:rsidRPr="004F5888" w:rsidRDefault="00AC352A" w:rsidP="004F5888">
      <w:pPr>
        <w:spacing w:after="0" w:line="240" w:lineRule="auto"/>
        <w:rPr>
          <w:rFonts w:ascii="Times New Roman" w:hAnsi="Times New Roman" w:cs="Times New Roman"/>
          <w:sz w:val="28"/>
          <w:szCs w:val="28"/>
        </w:rPr>
      </w:pPr>
      <w:r w:rsidRPr="004F5888">
        <w:rPr>
          <w:rFonts w:ascii="Times New Roman" w:hAnsi="Times New Roman" w:cs="Times New Roman"/>
          <w:sz w:val="28"/>
          <w:szCs w:val="28"/>
        </w:rPr>
        <w:t>28-</w:t>
      </w:r>
      <w:hyperlink r:id="rId82" w:history="1">
        <w:r w:rsidRPr="004F5888">
          <w:rPr>
            <w:rStyle w:val="a9"/>
            <w:rFonts w:ascii="Times New Roman" w:hAnsi="Times New Roman" w:cs="Times New Roman"/>
            <w:color w:val="auto"/>
            <w:sz w:val="28"/>
            <w:szCs w:val="28"/>
          </w:rPr>
          <w:t>https://cyberleninka.ru/article/n/sovremennyy-vzglyad-na-vozmozhnosti-profilaktiki-dementsii/viewer</w:t>
        </w:r>
      </w:hyperlink>
    </w:p>
    <w:p w14:paraId="2AB2BB27" w14:textId="77777777" w:rsidR="00AC352A" w:rsidRPr="004F5888" w:rsidRDefault="00AC352A" w:rsidP="004F5888">
      <w:pPr>
        <w:spacing w:after="0" w:line="240" w:lineRule="auto"/>
        <w:rPr>
          <w:rStyle w:val="a9"/>
          <w:rFonts w:ascii="Times New Roman" w:hAnsi="Times New Roman" w:cs="Times New Roman"/>
          <w:color w:val="auto"/>
          <w:sz w:val="28"/>
          <w:szCs w:val="28"/>
        </w:rPr>
      </w:pPr>
      <w:r w:rsidRPr="004F5888">
        <w:rPr>
          <w:rFonts w:ascii="Times New Roman" w:hAnsi="Times New Roman" w:cs="Times New Roman"/>
          <w:sz w:val="28"/>
          <w:szCs w:val="28"/>
        </w:rPr>
        <w:t>29-</w:t>
      </w:r>
      <w:hyperlink r:id="rId83" w:history="1">
        <w:r w:rsidRPr="004F5888">
          <w:rPr>
            <w:rStyle w:val="a9"/>
            <w:rFonts w:ascii="Times New Roman" w:hAnsi="Times New Roman" w:cs="Times New Roman"/>
            <w:color w:val="auto"/>
            <w:sz w:val="28"/>
            <w:szCs w:val="28"/>
          </w:rPr>
          <w:t>https://cyberleninka.ru/article/n/sovremennyy-vzglyad-na-vozmozhnosti-profilaktiki-dementsii/viewer</w:t>
        </w:r>
      </w:hyperlink>
    </w:p>
    <w:p w14:paraId="622AD286" w14:textId="71DCE131" w:rsidR="007533D3" w:rsidRDefault="007533D3" w:rsidP="007533D3">
      <w:pPr>
        <w:spacing w:line="240" w:lineRule="auto"/>
        <w:jc w:val="both"/>
        <w:rPr>
          <w:rFonts w:ascii="Times New Roman" w:hAnsi="Times New Roman" w:cs="Times New Roman"/>
          <w:sz w:val="24"/>
          <w:szCs w:val="24"/>
        </w:rPr>
      </w:pPr>
    </w:p>
    <w:p w14:paraId="580D305D" w14:textId="0D0555F3" w:rsidR="004413EA" w:rsidRDefault="004413EA" w:rsidP="007533D3">
      <w:pPr>
        <w:spacing w:line="240" w:lineRule="auto"/>
        <w:jc w:val="both"/>
        <w:rPr>
          <w:rFonts w:ascii="Times New Roman" w:hAnsi="Times New Roman" w:cs="Times New Roman"/>
          <w:sz w:val="24"/>
          <w:szCs w:val="24"/>
        </w:rPr>
      </w:pPr>
    </w:p>
    <w:p w14:paraId="20BF0FEA" w14:textId="1A318B6F" w:rsidR="004413EA" w:rsidRPr="004F5888" w:rsidRDefault="004413EA" w:rsidP="007533D3">
      <w:pPr>
        <w:spacing w:line="240" w:lineRule="auto"/>
        <w:jc w:val="both"/>
        <w:rPr>
          <w:rFonts w:ascii="Times New Roman" w:hAnsi="Times New Roman" w:cs="Times New Roman"/>
          <w:b/>
          <w:sz w:val="28"/>
          <w:szCs w:val="28"/>
        </w:rPr>
      </w:pPr>
      <w:r w:rsidRPr="004F5888">
        <w:rPr>
          <w:rFonts w:ascii="Times New Roman" w:hAnsi="Times New Roman" w:cs="Times New Roman"/>
          <w:b/>
          <w:sz w:val="28"/>
          <w:szCs w:val="28"/>
        </w:rPr>
        <w:t>ПРИЛОЖЕНИЕ 1</w:t>
      </w:r>
    </w:p>
    <w:p w14:paraId="79BEDA31" w14:textId="29C584D6" w:rsidR="004413EA" w:rsidRDefault="004413EA" w:rsidP="007533D3">
      <w:pPr>
        <w:spacing w:line="240" w:lineRule="auto"/>
        <w:jc w:val="both"/>
        <w:rPr>
          <w:rFonts w:ascii="Times New Roman" w:hAnsi="Times New Roman" w:cs="Times New Roman"/>
          <w:sz w:val="24"/>
          <w:szCs w:val="24"/>
        </w:rPr>
      </w:pPr>
    </w:p>
    <w:p w14:paraId="1985C31C" w14:textId="22F80D80" w:rsidR="004413EA" w:rsidRPr="00AC352A" w:rsidRDefault="004413EA" w:rsidP="007533D3">
      <w:pPr>
        <w:spacing w:line="240" w:lineRule="auto"/>
        <w:jc w:val="both"/>
        <w:rPr>
          <w:rFonts w:ascii="Times New Roman" w:hAnsi="Times New Roman" w:cs="Times New Roman"/>
          <w:sz w:val="24"/>
          <w:szCs w:val="24"/>
        </w:rPr>
      </w:pPr>
      <w:r w:rsidRPr="004413EA">
        <w:rPr>
          <w:rFonts w:ascii="Times New Roman" w:hAnsi="Times New Roman" w:cs="Times New Roman"/>
          <w:noProof/>
          <w:sz w:val="24"/>
          <w:szCs w:val="24"/>
          <w:lang w:val="en-US"/>
        </w:rPr>
        <w:drawing>
          <wp:inline distT="0" distB="0" distL="0" distR="0" wp14:anchorId="212AB31B" wp14:editId="21E04607">
            <wp:extent cx="5996354" cy="8036889"/>
            <wp:effectExtent l="0" t="0" r="4445" b="254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84"/>
                    <a:srcRect l="1529" r="1614"/>
                    <a:stretch/>
                  </pic:blipFill>
                  <pic:spPr>
                    <a:xfrm>
                      <a:off x="0" y="0"/>
                      <a:ext cx="6004674" cy="8048041"/>
                    </a:xfrm>
                    <a:prstGeom prst="rect">
                      <a:avLst/>
                    </a:prstGeom>
                  </pic:spPr>
                </pic:pic>
              </a:graphicData>
            </a:graphic>
          </wp:inline>
        </w:drawing>
      </w:r>
    </w:p>
    <w:p w14:paraId="2C7F8C98" w14:textId="052FCD32" w:rsidR="007533D3" w:rsidRPr="00AC352A" w:rsidRDefault="007533D3" w:rsidP="007533D3">
      <w:pPr>
        <w:spacing w:after="0" w:line="240" w:lineRule="auto"/>
        <w:rPr>
          <w:rFonts w:ascii="Times New Roman" w:hAnsi="Times New Roman" w:cs="Times New Roman"/>
          <w:sz w:val="24"/>
          <w:szCs w:val="24"/>
        </w:rPr>
      </w:pPr>
    </w:p>
    <w:p w14:paraId="28ABBC24" w14:textId="13C86EA7" w:rsidR="007533D3" w:rsidRPr="00AC352A" w:rsidRDefault="007533D3" w:rsidP="007533D3">
      <w:pPr>
        <w:spacing w:line="240" w:lineRule="auto"/>
        <w:rPr>
          <w:rFonts w:ascii="Times New Roman" w:hAnsi="Times New Roman" w:cs="Times New Roman"/>
          <w:color w:val="000000" w:themeColor="text1"/>
          <w:sz w:val="24"/>
          <w:szCs w:val="24"/>
        </w:rPr>
      </w:pPr>
    </w:p>
    <w:p w14:paraId="3053050D" w14:textId="769823AE" w:rsidR="007533D3" w:rsidRPr="00AC352A" w:rsidRDefault="007533D3" w:rsidP="00F46488">
      <w:pPr>
        <w:shd w:val="clear" w:color="auto" w:fill="FFFFFF"/>
        <w:spacing w:before="300" w:after="300" w:line="240" w:lineRule="auto"/>
        <w:ind w:firstLine="567"/>
        <w:jc w:val="both"/>
        <w:rPr>
          <w:rFonts w:ascii="Times New Roman" w:eastAsia="Times New Roman" w:hAnsi="Times New Roman" w:cs="Times New Roman"/>
          <w:color w:val="000000" w:themeColor="text1"/>
          <w:sz w:val="24"/>
          <w:szCs w:val="24"/>
          <w:lang w:eastAsia="ru-RU"/>
        </w:rPr>
      </w:pPr>
    </w:p>
    <w:p w14:paraId="08EA538E" w14:textId="274226AE" w:rsidR="00F46488" w:rsidRPr="00AC352A" w:rsidRDefault="00F46488" w:rsidP="00F46488">
      <w:pPr>
        <w:spacing w:line="240" w:lineRule="auto"/>
        <w:ind w:firstLine="567"/>
        <w:jc w:val="both"/>
        <w:rPr>
          <w:rFonts w:ascii="Times New Roman" w:hAnsi="Times New Roman" w:cs="Times New Roman"/>
          <w:sz w:val="24"/>
          <w:szCs w:val="24"/>
        </w:rPr>
      </w:pPr>
    </w:p>
    <w:p w14:paraId="1CE91B9C" w14:textId="7A666100" w:rsidR="00F46488" w:rsidRPr="0040337B" w:rsidRDefault="00F46488" w:rsidP="0040337B">
      <w:pPr>
        <w:shd w:val="clear" w:color="auto" w:fill="FFFFFF"/>
        <w:spacing w:after="135" w:line="240" w:lineRule="auto"/>
        <w:rPr>
          <w:rFonts w:ascii="Times New Roman" w:eastAsia="Times New Roman" w:hAnsi="Times New Roman" w:cs="Times New Roman"/>
          <w:color w:val="777777"/>
          <w:sz w:val="24"/>
          <w:szCs w:val="24"/>
        </w:rPr>
      </w:pPr>
    </w:p>
    <w:p w14:paraId="7F2A2FE5" w14:textId="571B13E4" w:rsidR="0040337B" w:rsidRPr="00AC352A" w:rsidRDefault="0040337B" w:rsidP="0040337B">
      <w:pPr>
        <w:spacing w:line="240" w:lineRule="auto"/>
        <w:ind w:firstLine="709"/>
        <w:jc w:val="both"/>
        <w:rPr>
          <w:rFonts w:ascii="Times New Roman" w:hAnsi="Times New Roman" w:cs="Times New Roman"/>
          <w:b/>
          <w:sz w:val="24"/>
          <w:szCs w:val="24"/>
        </w:rPr>
      </w:pPr>
    </w:p>
    <w:p w14:paraId="04F073E5" w14:textId="39B41061" w:rsidR="0040337B" w:rsidRPr="00AC352A" w:rsidRDefault="0040337B" w:rsidP="00EA503E">
      <w:pPr>
        <w:spacing w:line="240" w:lineRule="auto"/>
        <w:jc w:val="both"/>
        <w:rPr>
          <w:rStyle w:val="a9"/>
          <w:rFonts w:ascii="Times New Roman" w:hAnsi="Times New Roman" w:cs="Times New Roman"/>
          <w:color w:val="000000" w:themeColor="text1"/>
          <w:sz w:val="24"/>
          <w:szCs w:val="24"/>
        </w:rPr>
      </w:pPr>
    </w:p>
    <w:p w14:paraId="52C52D89" w14:textId="7F3C068E" w:rsidR="00EA503E" w:rsidRPr="00AC352A" w:rsidRDefault="00EA503E" w:rsidP="00EA503E">
      <w:pPr>
        <w:spacing w:line="240" w:lineRule="auto"/>
        <w:jc w:val="both"/>
        <w:rPr>
          <w:rFonts w:ascii="Times New Roman" w:hAnsi="Times New Roman" w:cs="Times New Roman"/>
          <w:sz w:val="24"/>
          <w:szCs w:val="24"/>
        </w:rPr>
      </w:pPr>
    </w:p>
    <w:p w14:paraId="5079AC99" w14:textId="1DD22DDD" w:rsidR="00E42077" w:rsidRDefault="00E42077" w:rsidP="00BD1496">
      <w:pPr>
        <w:jc w:val="both"/>
        <w:rPr>
          <w:rFonts w:ascii="Times New Roman" w:hAnsi="Times New Roman" w:cs="Times New Roman"/>
          <w:sz w:val="20"/>
          <w:szCs w:val="20"/>
        </w:rPr>
      </w:pPr>
    </w:p>
    <w:p w14:paraId="7E2B39E2" w14:textId="77777777" w:rsidR="000A5045" w:rsidRPr="0039075E" w:rsidRDefault="000A5045" w:rsidP="00BD1496">
      <w:pPr>
        <w:jc w:val="both"/>
        <w:rPr>
          <w:rFonts w:ascii="Times New Roman" w:hAnsi="Times New Roman" w:cs="Times New Roman"/>
          <w:sz w:val="20"/>
          <w:szCs w:val="20"/>
        </w:rPr>
      </w:pPr>
    </w:p>
    <w:sectPr w:rsidR="000A5045" w:rsidRPr="0039075E" w:rsidSect="003A605E">
      <w:headerReference w:type="default" r:id="rId85"/>
      <w:footerReference w:type="default" r:id="rId86"/>
      <w:pgSz w:w="11906" w:h="16838"/>
      <w:pgMar w:top="709" w:right="850"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78024" w14:textId="77777777" w:rsidR="0093135B" w:rsidRDefault="0093135B">
      <w:pPr>
        <w:spacing w:after="0" w:line="240" w:lineRule="auto"/>
      </w:pPr>
      <w:r>
        <w:separator/>
      </w:r>
    </w:p>
  </w:endnote>
  <w:endnote w:type="continuationSeparator" w:id="0">
    <w:p w14:paraId="28EBC250" w14:textId="77777777" w:rsidR="0093135B" w:rsidRDefault="00931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E6030D" w14:paraId="11A3B6FB" w14:textId="77777777" w:rsidTr="00E7415B">
      <w:tc>
        <w:tcPr>
          <w:tcW w:w="3400" w:type="dxa"/>
        </w:tcPr>
        <w:p w14:paraId="22967224" w14:textId="77777777" w:rsidR="00E6030D" w:rsidRDefault="00E6030D" w:rsidP="00E7415B">
          <w:pPr>
            <w:pStyle w:val="a3"/>
            <w:ind w:left="-115"/>
          </w:pPr>
        </w:p>
      </w:tc>
      <w:tc>
        <w:tcPr>
          <w:tcW w:w="3400" w:type="dxa"/>
        </w:tcPr>
        <w:p w14:paraId="00A584E1" w14:textId="77777777" w:rsidR="00E6030D" w:rsidRDefault="00E6030D" w:rsidP="00E7415B">
          <w:pPr>
            <w:pStyle w:val="a3"/>
            <w:jc w:val="center"/>
          </w:pPr>
        </w:p>
      </w:tc>
      <w:tc>
        <w:tcPr>
          <w:tcW w:w="3400" w:type="dxa"/>
        </w:tcPr>
        <w:p w14:paraId="68E76F3F" w14:textId="77777777" w:rsidR="00E6030D" w:rsidRDefault="00E6030D" w:rsidP="00E7415B">
          <w:pPr>
            <w:pStyle w:val="a3"/>
            <w:ind w:right="-115"/>
            <w:jc w:val="right"/>
          </w:pPr>
        </w:p>
      </w:tc>
    </w:tr>
  </w:tbl>
  <w:p w14:paraId="50AF7A1F" w14:textId="77777777" w:rsidR="00E6030D" w:rsidRDefault="00E6030D" w:rsidP="00E741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67356" w14:textId="77777777" w:rsidR="0093135B" w:rsidRDefault="0093135B">
      <w:pPr>
        <w:spacing w:after="0" w:line="240" w:lineRule="auto"/>
      </w:pPr>
      <w:r>
        <w:separator/>
      </w:r>
    </w:p>
  </w:footnote>
  <w:footnote w:type="continuationSeparator" w:id="0">
    <w:p w14:paraId="2BC4FBEA" w14:textId="77777777" w:rsidR="0093135B" w:rsidRDefault="00931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E6030D" w14:paraId="0D80B163" w14:textId="77777777" w:rsidTr="00E7415B">
      <w:tc>
        <w:tcPr>
          <w:tcW w:w="3400" w:type="dxa"/>
        </w:tcPr>
        <w:p w14:paraId="5679BED9" w14:textId="77777777" w:rsidR="00E6030D" w:rsidRDefault="00E6030D" w:rsidP="00E7415B">
          <w:pPr>
            <w:pStyle w:val="a3"/>
            <w:ind w:left="-115"/>
          </w:pPr>
        </w:p>
      </w:tc>
      <w:tc>
        <w:tcPr>
          <w:tcW w:w="3400" w:type="dxa"/>
        </w:tcPr>
        <w:p w14:paraId="179B79CE" w14:textId="77777777" w:rsidR="00E6030D" w:rsidRDefault="00E6030D" w:rsidP="00E7415B">
          <w:pPr>
            <w:pStyle w:val="a3"/>
            <w:jc w:val="center"/>
          </w:pPr>
        </w:p>
      </w:tc>
      <w:tc>
        <w:tcPr>
          <w:tcW w:w="3400" w:type="dxa"/>
        </w:tcPr>
        <w:p w14:paraId="429C9EB1" w14:textId="77777777" w:rsidR="00E6030D" w:rsidRDefault="00E6030D" w:rsidP="00E7415B">
          <w:pPr>
            <w:pStyle w:val="a3"/>
            <w:ind w:right="-115"/>
            <w:jc w:val="right"/>
          </w:pPr>
        </w:p>
      </w:tc>
    </w:tr>
  </w:tbl>
  <w:p w14:paraId="1D21E893" w14:textId="77777777" w:rsidR="00E6030D" w:rsidRDefault="00E6030D" w:rsidP="00E7415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5090E"/>
    <w:multiLevelType w:val="hybridMultilevel"/>
    <w:tmpl w:val="2CAC089E"/>
    <w:lvl w:ilvl="0" w:tplc="F6A0E678">
      <w:start w:val="1"/>
      <w:numFmt w:val="bullet"/>
      <w:lvlText w:val="•"/>
      <w:lvlJc w:val="left"/>
      <w:pPr>
        <w:tabs>
          <w:tab w:val="num" w:pos="720"/>
        </w:tabs>
        <w:ind w:left="720" w:hanging="360"/>
      </w:pPr>
      <w:rPr>
        <w:rFonts w:ascii="Arial" w:hAnsi="Arial" w:hint="default"/>
      </w:rPr>
    </w:lvl>
    <w:lvl w:ilvl="1" w:tplc="0D12DB96" w:tentative="1">
      <w:start w:val="1"/>
      <w:numFmt w:val="bullet"/>
      <w:lvlText w:val="•"/>
      <w:lvlJc w:val="left"/>
      <w:pPr>
        <w:tabs>
          <w:tab w:val="num" w:pos="1440"/>
        </w:tabs>
        <w:ind w:left="1440" w:hanging="360"/>
      </w:pPr>
      <w:rPr>
        <w:rFonts w:ascii="Arial" w:hAnsi="Arial" w:hint="default"/>
      </w:rPr>
    </w:lvl>
    <w:lvl w:ilvl="2" w:tplc="B6A69290" w:tentative="1">
      <w:start w:val="1"/>
      <w:numFmt w:val="bullet"/>
      <w:lvlText w:val="•"/>
      <w:lvlJc w:val="left"/>
      <w:pPr>
        <w:tabs>
          <w:tab w:val="num" w:pos="2160"/>
        </w:tabs>
        <w:ind w:left="2160" w:hanging="360"/>
      </w:pPr>
      <w:rPr>
        <w:rFonts w:ascii="Arial" w:hAnsi="Arial" w:hint="default"/>
      </w:rPr>
    </w:lvl>
    <w:lvl w:ilvl="3" w:tplc="0868C6E2" w:tentative="1">
      <w:start w:val="1"/>
      <w:numFmt w:val="bullet"/>
      <w:lvlText w:val="•"/>
      <w:lvlJc w:val="left"/>
      <w:pPr>
        <w:tabs>
          <w:tab w:val="num" w:pos="2880"/>
        </w:tabs>
        <w:ind w:left="2880" w:hanging="360"/>
      </w:pPr>
      <w:rPr>
        <w:rFonts w:ascii="Arial" w:hAnsi="Arial" w:hint="default"/>
      </w:rPr>
    </w:lvl>
    <w:lvl w:ilvl="4" w:tplc="4076658A" w:tentative="1">
      <w:start w:val="1"/>
      <w:numFmt w:val="bullet"/>
      <w:lvlText w:val="•"/>
      <w:lvlJc w:val="left"/>
      <w:pPr>
        <w:tabs>
          <w:tab w:val="num" w:pos="3600"/>
        </w:tabs>
        <w:ind w:left="3600" w:hanging="360"/>
      </w:pPr>
      <w:rPr>
        <w:rFonts w:ascii="Arial" w:hAnsi="Arial" w:hint="default"/>
      </w:rPr>
    </w:lvl>
    <w:lvl w:ilvl="5" w:tplc="C19E6166" w:tentative="1">
      <w:start w:val="1"/>
      <w:numFmt w:val="bullet"/>
      <w:lvlText w:val="•"/>
      <w:lvlJc w:val="left"/>
      <w:pPr>
        <w:tabs>
          <w:tab w:val="num" w:pos="4320"/>
        </w:tabs>
        <w:ind w:left="4320" w:hanging="360"/>
      </w:pPr>
      <w:rPr>
        <w:rFonts w:ascii="Arial" w:hAnsi="Arial" w:hint="default"/>
      </w:rPr>
    </w:lvl>
    <w:lvl w:ilvl="6" w:tplc="F036FDF8" w:tentative="1">
      <w:start w:val="1"/>
      <w:numFmt w:val="bullet"/>
      <w:lvlText w:val="•"/>
      <w:lvlJc w:val="left"/>
      <w:pPr>
        <w:tabs>
          <w:tab w:val="num" w:pos="5040"/>
        </w:tabs>
        <w:ind w:left="5040" w:hanging="360"/>
      </w:pPr>
      <w:rPr>
        <w:rFonts w:ascii="Arial" w:hAnsi="Arial" w:hint="default"/>
      </w:rPr>
    </w:lvl>
    <w:lvl w:ilvl="7" w:tplc="D2F8FCA2" w:tentative="1">
      <w:start w:val="1"/>
      <w:numFmt w:val="bullet"/>
      <w:lvlText w:val="•"/>
      <w:lvlJc w:val="left"/>
      <w:pPr>
        <w:tabs>
          <w:tab w:val="num" w:pos="5760"/>
        </w:tabs>
        <w:ind w:left="5760" w:hanging="360"/>
      </w:pPr>
      <w:rPr>
        <w:rFonts w:ascii="Arial" w:hAnsi="Arial" w:hint="default"/>
      </w:rPr>
    </w:lvl>
    <w:lvl w:ilvl="8" w:tplc="956E32F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584029"/>
    <w:multiLevelType w:val="multilevel"/>
    <w:tmpl w:val="6662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90D27"/>
    <w:multiLevelType w:val="multilevel"/>
    <w:tmpl w:val="6994D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0727C"/>
    <w:multiLevelType w:val="multilevel"/>
    <w:tmpl w:val="AB5A1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991CB8"/>
    <w:multiLevelType w:val="multilevel"/>
    <w:tmpl w:val="DB109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B764C5"/>
    <w:multiLevelType w:val="multilevel"/>
    <w:tmpl w:val="40405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CA5"/>
    <w:rsid w:val="000869DF"/>
    <w:rsid w:val="000A3542"/>
    <w:rsid w:val="000A5045"/>
    <w:rsid w:val="000E15A4"/>
    <w:rsid w:val="000F2951"/>
    <w:rsid w:val="001D5A52"/>
    <w:rsid w:val="001E0D58"/>
    <w:rsid w:val="002112F2"/>
    <w:rsid w:val="0029341F"/>
    <w:rsid w:val="002E58DE"/>
    <w:rsid w:val="00300F1D"/>
    <w:rsid w:val="0032273E"/>
    <w:rsid w:val="00323D6C"/>
    <w:rsid w:val="0039075E"/>
    <w:rsid w:val="003A605E"/>
    <w:rsid w:val="003B4BB3"/>
    <w:rsid w:val="003E7652"/>
    <w:rsid w:val="003F63B7"/>
    <w:rsid w:val="004022A3"/>
    <w:rsid w:val="0040337B"/>
    <w:rsid w:val="00412376"/>
    <w:rsid w:val="00415FCD"/>
    <w:rsid w:val="004413EA"/>
    <w:rsid w:val="004526DE"/>
    <w:rsid w:val="00454C9F"/>
    <w:rsid w:val="004A3D18"/>
    <w:rsid w:val="004B7FD3"/>
    <w:rsid w:val="004C13D7"/>
    <w:rsid w:val="004E056F"/>
    <w:rsid w:val="004E6F5A"/>
    <w:rsid w:val="004F0485"/>
    <w:rsid w:val="004F5888"/>
    <w:rsid w:val="00560207"/>
    <w:rsid w:val="005611A2"/>
    <w:rsid w:val="00575281"/>
    <w:rsid w:val="00591256"/>
    <w:rsid w:val="00595D4D"/>
    <w:rsid w:val="005F6422"/>
    <w:rsid w:val="00612968"/>
    <w:rsid w:val="00616884"/>
    <w:rsid w:val="00621A8C"/>
    <w:rsid w:val="00625A84"/>
    <w:rsid w:val="00644A1A"/>
    <w:rsid w:val="00667E06"/>
    <w:rsid w:val="00674DFC"/>
    <w:rsid w:val="00684038"/>
    <w:rsid w:val="006B005D"/>
    <w:rsid w:val="00723DFC"/>
    <w:rsid w:val="007533D3"/>
    <w:rsid w:val="0075639C"/>
    <w:rsid w:val="007952F7"/>
    <w:rsid w:val="007A3B85"/>
    <w:rsid w:val="007E65F5"/>
    <w:rsid w:val="00807A91"/>
    <w:rsid w:val="0086574C"/>
    <w:rsid w:val="00875E84"/>
    <w:rsid w:val="008959E1"/>
    <w:rsid w:val="00897472"/>
    <w:rsid w:val="008E5C67"/>
    <w:rsid w:val="0090725F"/>
    <w:rsid w:val="0093135B"/>
    <w:rsid w:val="00962B74"/>
    <w:rsid w:val="009B519E"/>
    <w:rsid w:val="009B648B"/>
    <w:rsid w:val="009B7831"/>
    <w:rsid w:val="009E2E90"/>
    <w:rsid w:val="00A00CBC"/>
    <w:rsid w:val="00A22A4D"/>
    <w:rsid w:val="00A37140"/>
    <w:rsid w:val="00A549C0"/>
    <w:rsid w:val="00A664B9"/>
    <w:rsid w:val="00A71843"/>
    <w:rsid w:val="00AB461A"/>
    <w:rsid w:val="00AB6980"/>
    <w:rsid w:val="00AC352A"/>
    <w:rsid w:val="00B601C3"/>
    <w:rsid w:val="00B805D9"/>
    <w:rsid w:val="00BD1496"/>
    <w:rsid w:val="00BE7DC4"/>
    <w:rsid w:val="00C11198"/>
    <w:rsid w:val="00C23C9B"/>
    <w:rsid w:val="00C66B55"/>
    <w:rsid w:val="00C7124A"/>
    <w:rsid w:val="00C7150B"/>
    <w:rsid w:val="00CA3ED5"/>
    <w:rsid w:val="00CE18A4"/>
    <w:rsid w:val="00CE4D82"/>
    <w:rsid w:val="00CF161E"/>
    <w:rsid w:val="00CF5CA5"/>
    <w:rsid w:val="00D03B8E"/>
    <w:rsid w:val="00D34480"/>
    <w:rsid w:val="00D3736C"/>
    <w:rsid w:val="00D917DF"/>
    <w:rsid w:val="00DB210A"/>
    <w:rsid w:val="00DC7707"/>
    <w:rsid w:val="00DE444D"/>
    <w:rsid w:val="00DE581A"/>
    <w:rsid w:val="00DF2BB5"/>
    <w:rsid w:val="00E318B8"/>
    <w:rsid w:val="00E37292"/>
    <w:rsid w:val="00E42077"/>
    <w:rsid w:val="00E6030D"/>
    <w:rsid w:val="00E7415B"/>
    <w:rsid w:val="00E82737"/>
    <w:rsid w:val="00EA503E"/>
    <w:rsid w:val="00EF20E5"/>
    <w:rsid w:val="00F02475"/>
    <w:rsid w:val="00F10914"/>
    <w:rsid w:val="00F1587A"/>
    <w:rsid w:val="00F218E0"/>
    <w:rsid w:val="00F23EC2"/>
    <w:rsid w:val="00F46488"/>
    <w:rsid w:val="00F557C7"/>
    <w:rsid w:val="00F83F26"/>
    <w:rsid w:val="00F86491"/>
    <w:rsid w:val="00FF5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68404"/>
  <w15:chartTrackingRefBased/>
  <w15:docId w15:val="{04AEA862-392E-43B1-B47C-D81A60968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2BB5"/>
  </w:style>
  <w:style w:type="paragraph" w:styleId="1">
    <w:name w:val="heading 1"/>
    <w:basedOn w:val="a"/>
    <w:next w:val="a"/>
    <w:link w:val="10"/>
    <w:uiPriority w:val="9"/>
    <w:qFormat/>
    <w:rsid w:val="007533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8"/>
    <w:semiHidden/>
    <w:unhideWhenUsed/>
    <w:qFormat/>
    <w:rsid w:val="00E7415B"/>
    <w:pPr>
      <w:spacing w:after="0" w:line="240" w:lineRule="auto"/>
      <w:outlineLvl w:val="1"/>
    </w:pPr>
    <w:rPr>
      <w:rFonts w:ascii="Times New Roman" w:eastAsia="Times New Roman" w:hAnsi="Times New Roman" w:cs="Times New Roman"/>
      <w:b/>
      <w:sz w:val="36"/>
      <w:szCs w:val="36"/>
      <w:lang w:eastAsia="ru-RU"/>
    </w:rPr>
  </w:style>
  <w:style w:type="paragraph" w:styleId="3">
    <w:name w:val="heading 3"/>
    <w:basedOn w:val="a"/>
    <w:next w:val="a"/>
    <w:link w:val="30"/>
    <w:uiPriority w:val="9"/>
    <w:unhideWhenUsed/>
    <w:qFormat/>
    <w:rsid w:val="00E7415B"/>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7415B"/>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E7415B"/>
    <w:pPr>
      <w:keepNext/>
      <w:keepLines/>
      <w:spacing w:before="40" w:after="0" w:line="256" w:lineRule="auto"/>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33D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8"/>
    <w:semiHidden/>
    <w:rsid w:val="00E7415B"/>
    <w:rPr>
      <w:rFonts w:ascii="Times New Roman" w:eastAsia="Times New Roman" w:hAnsi="Times New Roman" w:cs="Times New Roman"/>
      <w:b/>
      <w:sz w:val="36"/>
      <w:szCs w:val="36"/>
      <w:lang w:eastAsia="ru-RU"/>
    </w:rPr>
  </w:style>
  <w:style w:type="character" w:customStyle="1" w:styleId="30">
    <w:name w:val="Заголовок 3 Знак"/>
    <w:basedOn w:val="a0"/>
    <w:link w:val="3"/>
    <w:uiPriority w:val="9"/>
    <w:rsid w:val="00E7415B"/>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E7415B"/>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E7415B"/>
    <w:rPr>
      <w:rFonts w:asciiTheme="majorHAnsi" w:eastAsiaTheme="majorEastAsia" w:hAnsiTheme="majorHAnsi" w:cstheme="majorBidi"/>
      <w:color w:val="2F5496" w:themeColor="accent1" w:themeShade="BF"/>
    </w:rPr>
  </w:style>
  <w:style w:type="paragraph" w:styleId="a3">
    <w:name w:val="header"/>
    <w:basedOn w:val="a"/>
    <w:link w:val="a4"/>
    <w:uiPriority w:val="99"/>
    <w:unhideWhenUsed/>
    <w:rsid w:val="00DF2B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F2BB5"/>
  </w:style>
  <w:style w:type="paragraph" w:styleId="a5">
    <w:name w:val="footer"/>
    <w:basedOn w:val="a"/>
    <w:link w:val="a6"/>
    <w:uiPriority w:val="99"/>
    <w:unhideWhenUsed/>
    <w:rsid w:val="00DF2B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F2BB5"/>
  </w:style>
  <w:style w:type="paragraph" w:styleId="a7">
    <w:name w:val="Balloon Text"/>
    <w:basedOn w:val="a"/>
    <w:link w:val="a8"/>
    <w:uiPriority w:val="99"/>
    <w:semiHidden/>
    <w:unhideWhenUsed/>
    <w:rsid w:val="00DF2BB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F2BB5"/>
    <w:rPr>
      <w:rFonts w:ascii="Segoe UI" w:hAnsi="Segoe UI" w:cs="Segoe UI"/>
      <w:sz w:val="18"/>
      <w:szCs w:val="18"/>
    </w:rPr>
  </w:style>
  <w:style w:type="character" w:styleId="a9">
    <w:name w:val="Hyperlink"/>
    <w:basedOn w:val="a0"/>
    <w:uiPriority w:val="99"/>
    <w:unhideWhenUsed/>
    <w:rsid w:val="00E7415B"/>
    <w:rPr>
      <w:color w:val="0563C1" w:themeColor="hyperlink"/>
      <w:u w:val="single"/>
    </w:rPr>
  </w:style>
  <w:style w:type="paragraph" w:styleId="aa">
    <w:name w:val="Normal (Web)"/>
    <w:basedOn w:val="a"/>
    <w:uiPriority w:val="99"/>
    <w:unhideWhenUsed/>
    <w:rsid w:val="00E7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right-span">
    <w:name w:val="copyright-span"/>
    <w:basedOn w:val="a0"/>
    <w:rsid w:val="00E7415B"/>
  </w:style>
  <w:style w:type="table" w:styleId="ab">
    <w:name w:val="Table Grid"/>
    <w:basedOn w:val="a1"/>
    <w:uiPriority w:val="59"/>
    <w:rsid w:val="00E7415B"/>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Strong"/>
    <w:basedOn w:val="a0"/>
    <w:uiPriority w:val="22"/>
    <w:qFormat/>
    <w:rsid w:val="00E7415B"/>
    <w:rPr>
      <w:b/>
      <w:bCs/>
    </w:rPr>
  </w:style>
  <w:style w:type="character" w:styleId="ad">
    <w:name w:val="FollowedHyperlink"/>
    <w:basedOn w:val="a0"/>
    <w:uiPriority w:val="99"/>
    <w:semiHidden/>
    <w:unhideWhenUsed/>
    <w:rsid w:val="00C66B55"/>
    <w:rPr>
      <w:color w:val="954F72" w:themeColor="followedHyperlink"/>
      <w:u w:val="single"/>
    </w:rPr>
  </w:style>
  <w:style w:type="character" w:styleId="ae">
    <w:name w:val="Emphasis"/>
    <w:basedOn w:val="a0"/>
    <w:uiPriority w:val="20"/>
    <w:qFormat/>
    <w:rsid w:val="004B7FD3"/>
    <w:rPr>
      <w:i/>
      <w:iCs/>
    </w:rPr>
  </w:style>
  <w:style w:type="paragraph" w:styleId="af">
    <w:name w:val="List Paragraph"/>
    <w:basedOn w:val="a"/>
    <w:uiPriority w:val="34"/>
    <w:qFormat/>
    <w:rsid w:val="005611A2"/>
    <w:pPr>
      <w:spacing w:after="0" w:line="240" w:lineRule="auto"/>
      <w:ind w:left="720"/>
      <w:contextualSpacing/>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5350">
      <w:bodyDiv w:val="1"/>
      <w:marLeft w:val="0"/>
      <w:marRight w:val="0"/>
      <w:marTop w:val="0"/>
      <w:marBottom w:val="0"/>
      <w:divBdr>
        <w:top w:val="none" w:sz="0" w:space="0" w:color="auto"/>
        <w:left w:val="none" w:sz="0" w:space="0" w:color="auto"/>
        <w:bottom w:val="none" w:sz="0" w:space="0" w:color="auto"/>
        <w:right w:val="none" w:sz="0" w:space="0" w:color="auto"/>
      </w:divBdr>
    </w:div>
    <w:div w:id="47806215">
      <w:bodyDiv w:val="1"/>
      <w:marLeft w:val="0"/>
      <w:marRight w:val="0"/>
      <w:marTop w:val="0"/>
      <w:marBottom w:val="0"/>
      <w:divBdr>
        <w:top w:val="none" w:sz="0" w:space="0" w:color="auto"/>
        <w:left w:val="none" w:sz="0" w:space="0" w:color="auto"/>
        <w:bottom w:val="none" w:sz="0" w:space="0" w:color="auto"/>
        <w:right w:val="none" w:sz="0" w:space="0" w:color="auto"/>
      </w:divBdr>
    </w:div>
    <w:div w:id="72826603">
      <w:bodyDiv w:val="1"/>
      <w:marLeft w:val="0"/>
      <w:marRight w:val="0"/>
      <w:marTop w:val="0"/>
      <w:marBottom w:val="0"/>
      <w:divBdr>
        <w:top w:val="none" w:sz="0" w:space="0" w:color="auto"/>
        <w:left w:val="none" w:sz="0" w:space="0" w:color="auto"/>
        <w:bottom w:val="none" w:sz="0" w:space="0" w:color="auto"/>
        <w:right w:val="none" w:sz="0" w:space="0" w:color="auto"/>
      </w:divBdr>
    </w:div>
    <w:div w:id="502285449">
      <w:bodyDiv w:val="1"/>
      <w:marLeft w:val="0"/>
      <w:marRight w:val="0"/>
      <w:marTop w:val="0"/>
      <w:marBottom w:val="0"/>
      <w:divBdr>
        <w:top w:val="none" w:sz="0" w:space="0" w:color="auto"/>
        <w:left w:val="none" w:sz="0" w:space="0" w:color="auto"/>
        <w:bottom w:val="none" w:sz="0" w:space="0" w:color="auto"/>
        <w:right w:val="none" w:sz="0" w:space="0" w:color="auto"/>
      </w:divBdr>
    </w:div>
    <w:div w:id="502353123">
      <w:bodyDiv w:val="1"/>
      <w:marLeft w:val="0"/>
      <w:marRight w:val="0"/>
      <w:marTop w:val="0"/>
      <w:marBottom w:val="0"/>
      <w:divBdr>
        <w:top w:val="none" w:sz="0" w:space="0" w:color="auto"/>
        <w:left w:val="none" w:sz="0" w:space="0" w:color="auto"/>
        <w:bottom w:val="none" w:sz="0" w:space="0" w:color="auto"/>
        <w:right w:val="none" w:sz="0" w:space="0" w:color="auto"/>
      </w:divBdr>
      <w:divsChild>
        <w:div w:id="1564482797">
          <w:marLeft w:val="0"/>
          <w:marRight w:val="0"/>
          <w:marTop w:val="0"/>
          <w:marBottom w:val="0"/>
          <w:divBdr>
            <w:top w:val="none" w:sz="0" w:space="0" w:color="auto"/>
            <w:left w:val="none" w:sz="0" w:space="0" w:color="auto"/>
            <w:bottom w:val="none" w:sz="0" w:space="0" w:color="auto"/>
            <w:right w:val="none" w:sz="0" w:space="0" w:color="auto"/>
          </w:divBdr>
        </w:div>
        <w:div w:id="990210639">
          <w:marLeft w:val="0"/>
          <w:marRight w:val="0"/>
          <w:marTop w:val="0"/>
          <w:marBottom w:val="0"/>
          <w:divBdr>
            <w:top w:val="none" w:sz="0" w:space="0" w:color="auto"/>
            <w:left w:val="none" w:sz="0" w:space="0" w:color="auto"/>
            <w:bottom w:val="none" w:sz="0" w:space="0" w:color="auto"/>
            <w:right w:val="none" w:sz="0" w:space="0" w:color="auto"/>
          </w:divBdr>
        </w:div>
        <w:div w:id="301542193">
          <w:marLeft w:val="0"/>
          <w:marRight w:val="0"/>
          <w:marTop w:val="0"/>
          <w:marBottom w:val="0"/>
          <w:divBdr>
            <w:top w:val="none" w:sz="0" w:space="0" w:color="auto"/>
            <w:left w:val="none" w:sz="0" w:space="0" w:color="auto"/>
            <w:bottom w:val="none" w:sz="0" w:space="0" w:color="auto"/>
            <w:right w:val="none" w:sz="0" w:space="0" w:color="auto"/>
          </w:divBdr>
        </w:div>
        <w:div w:id="2122915671">
          <w:marLeft w:val="0"/>
          <w:marRight w:val="0"/>
          <w:marTop w:val="0"/>
          <w:marBottom w:val="0"/>
          <w:divBdr>
            <w:top w:val="none" w:sz="0" w:space="0" w:color="auto"/>
            <w:left w:val="none" w:sz="0" w:space="0" w:color="auto"/>
            <w:bottom w:val="none" w:sz="0" w:space="0" w:color="auto"/>
            <w:right w:val="none" w:sz="0" w:space="0" w:color="auto"/>
          </w:divBdr>
        </w:div>
        <w:div w:id="521090926">
          <w:marLeft w:val="0"/>
          <w:marRight w:val="0"/>
          <w:marTop w:val="0"/>
          <w:marBottom w:val="0"/>
          <w:divBdr>
            <w:top w:val="none" w:sz="0" w:space="0" w:color="auto"/>
            <w:left w:val="none" w:sz="0" w:space="0" w:color="auto"/>
            <w:bottom w:val="none" w:sz="0" w:space="0" w:color="auto"/>
            <w:right w:val="none" w:sz="0" w:space="0" w:color="auto"/>
          </w:divBdr>
          <w:divsChild>
            <w:div w:id="15503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50838">
      <w:bodyDiv w:val="1"/>
      <w:marLeft w:val="0"/>
      <w:marRight w:val="0"/>
      <w:marTop w:val="0"/>
      <w:marBottom w:val="0"/>
      <w:divBdr>
        <w:top w:val="none" w:sz="0" w:space="0" w:color="auto"/>
        <w:left w:val="none" w:sz="0" w:space="0" w:color="auto"/>
        <w:bottom w:val="none" w:sz="0" w:space="0" w:color="auto"/>
        <w:right w:val="none" w:sz="0" w:space="0" w:color="auto"/>
      </w:divBdr>
    </w:div>
    <w:div w:id="581253494">
      <w:bodyDiv w:val="1"/>
      <w:marLeft w:val="0"/>
      <w:marRight w:val="0"/>
      <w:marTop w:val="0"/>
      <w:marBottom w:val="0"/>
      <w:divBdr>
        <w:top w:val="none" w:sz="0" w:space="0" w:color="auto"/>
        <w:left w:val="none" w:sz="0" w:space="0" w:color="auto"/>
        <w:bottom w:val="none" w:sz="0" w:space="0" w:color="auto"/>
        <w:right w:val="none" w:sz="0" w:space="0" w:color="auto"/>
      </w:divBdr>
    </w:div>
    <w:div w:id="629559274">
      <w:bodyDiv w:val="1"/>
      <w:marLeft w:val="0"/>
      <w:marRight w:val="0"/>
      <w:marTop w:val="0"/>
      <w:marBottom w:val="0"/>
      <w:divBdr>
        <w:top w:val="none" w:sz="0" w:space="0" w:color="auto"/>
        <w:left w:val="none" w:sz="0" w:space="0" w:color="auto"/>
        <w:bottom w:val="none" w:sz="0" w:space="0" w:color="auto"/>
        <w:right w:val="none" w:sz="0" w:space="0" w:color="auto"/>
      </w:divBdr>
    </w:div>
    <w:div w:id="684939718">
      <w:bodyDiv w:val="1"/>
      <w:marLeft w:val="0"/>
      <w:marRight w:val="0"/>
      <w:marTop w:val="0"/>
      <w:marBottom w:val="0"/>
      <w:divBdr>
        <w:top w:val="none" w:sz="0" w:space="0" w:color="auto"/>
        <w:left w:val="none" w:sz="0" w:space="0" w:color="auto"/>
        <w:bottom w:val="none" w:sz="0" w:space="0" w:color="auto"/>
        <w:right w:val="none" w:sz="0" w:space="0" w:color="auto"/>
      </w:divBdr>
    </w:div>
    <w:div w:id="959267295">
      <w:bodyDiv w:val="1"/>
      <w:marLeft w:val="0"/>
      <w:marRight w:val="0"/>
      <w:marTop w:val="0"/>
      <w:marBottom w:val="0"/>
      <w:divBdr>
        <w:top w:val="none" w:sz="0" w:space="0" w:color="auto"/>
        <w:left w:val="none" w:sz="0" w:space="0" w:color="auto"/>
        <w:bottom w:val="none" w:sz="0" w:space="0" w:color="auto"/>
        <w:right w:val="none" w:sz="0" w:space="0" w:color="auto"/>
      </w:divBdr>
    </w:div>
    <w:div w:id="975649250">
      <w:bodyDiv w:val="1"/>
      <w:marLeft w:val="0"/>
      <w:marRight w:val="0"/>
      <w:marTop w:val="0"/>
      <w:marBottom w:val="0"/>
      <w:divBdr>
        <w:top w:val="none" w:sz="0" w:space="0" w:color="auto"/>
        <w:left w:val="none" w:sz="0" w:space="0" w:color="auto"/>
        <w:bottom w:val="none" w:sz="0" w:space="0" w:color="auto"/>
        <w:right w:val="none" w:sz="0" w:space="0" w:color="auto"/>
      </w:divBdr>
      <w:divsChild>
        <w:div w:id="1550805067">
          <w:marLeft w:val="446"/>
          <w:marRight w:val="0"/>
          <w:marTop w:val="0"/>
          <w:marBottom w:val="160"/>
          <w:divBdr>
            <w:top w:val="none" w:sz="0" w:space="0" w:color="auto"/>
            <w:left w:val="none" w:sz="0" w:space="0" w:color="auto"/>
            <w:bottom w:val="none" w:sz="0" w:space="0" w:color="auto"/>
            <w:right w:val="none" w:sz="0" w:space="0" w:color="auto"/>
          </w:divBdr>
        </w:div>
        <w:div w:id="622156705">
          <w:marLeft w:val="446"/>
          <w:marRight w:val="0"/>
          <w:marTop w:val="0"/>
          <w:marBottom w:val="160"/>
          <w:divBdr>
            <w:top w:val="none" w:sz="0" w:space="0" w:color="auto"/>
            <w:left w:val="none" w:sz="0" w:space="0" w:color="auto"/>
            <w:bottom w:val="none" w:sz="0" w:space="0" w:color="auto"/>
            <w:right w:val="none" w:sz="0" w:space="0" w:color="auto"/>
          </w:divBdr>
        </w:div>
        <w:div w:id="337852098">
          <w:marLeft w:val="446"/>
          <w:marRight w:val="0"/>
          <w:marTop w:val="0"/>
          <w:marBottom w:val="160"/>
          <w:divBdr>
            <w:top w:val="none" w:sz="0" w:space="0" w:color="auto"/>
            <w:left w:val="none" w:sz="0" w:space="0" w:color="auto"/>
            <w:bottom w:val="none" w:sz="0" w:space="0" w:color="auto"/>
            <w:right w:val="none" w:sz="0" w:space="0" w:color="auto"/>
          </w:divBdr>
        </w:div>
        <w:div w:id="1259755985">
          <w:marLeft w:val="446"/>
          <w:marRight w:val="0"/>
          <w:marTop w:val="0"/>
          <w:marBottom w:val="160"/>
          <w:divBdr>
            <w:top w:val="none" w:sz="0" w:space="0" w:color="auto"/>
            <w:left w:val="none" w:sz="0" w:space="0" w:color="auto"/>
            <w:bottom w:val="none" w:sz="0" w:space="0" w:color="auto"/>
            <w:right w:val="none" w:sz="0" w:space="0" w:color="auto"/>
          </w:divBdr>
        </w:div>
      </w:divsChild>
    </w:div>
    <w:div w:id="1089734522">
      <w:bodyDiv w:val="1"/>
      <w:marLeft w:val="0"/>
      <w:marRight w:val="0"/>
      <w:marTop w:val="0"/>
      <w:marBottom w:val="0"/>
      <w:divBdr>
        <w:top w:val="none" w:sz="0" w:space="0" w:color="auto"/>
        <w:left w:val="none" w:sz="0" w:space="0" w:color="auto"/>
        <w:bottom w:val="none" w:sz="0" w:space="0" w:color="auto"/>
        <w:right w:val="none" w:sz="0" w:space="0" w:color="auto"/>
      </w:divBdr>
    </w:div>
    <w:div w:id="1177771109">
      <w:bodyDiv w:val="1"/>
      <w:marLeft w:val="0"/>
      <w:marRight w:val="0"/>
      <w:marTop w:val="0"/>
      <w:marBottom w:val="0"/>
      <w:divBdr>
        <w:top w:val="none" w:sz="0" w:space="0" w:color="auto"/>
        <w:left w:val="none" w:sz="0" w:space="0" w:color="auto"/>
        <w:bottom w:val="none" w:sz="0" w:space="0" w:color="auto"/>
        <w:right w:val="none" w:sz="0" w:space="0" w:color="auto"/>
      </w:divBdr>
    </w:div>
    <w:div w:id="1364020911">
      <w:bodyDiv w:val="1"/>
      <w:marLeft w:val="0"/>
      <w:marRight w:val="0"/>
      <w:marTop w:val="0"/>
      <w:marBottom w:val="0"/>
      <w:divBdr>
        <w:top w:val="none" w:sz="0" w:space="0" w:color="auto"/>
        <w:left w:val="none" w:sz="0" w:space="0" w:color="auto"/>
        <w:bottom w:val="none" w:sz="0" w:space="0" w:color="auto"/>
        <w:right w:val="none" w:sz="0" w:space="0" w:color="auto"/>
      </w:divBdr>
    </w:div>
    <w:div w:id="1400712823">
      <w:bodyDiv w:val="1"/>
      <w:marLeft w:val="0"/>
      <w:marRight w:val="0"/>
      <w:marTop w:val="0"/>
      <w:marBottom w:val="0"/>
      <w:divBdr>
        <w:top w:val="none" w:sz="0" w:space="0" w:color="auto"/>
        <w:left w:val="none" w:sz="0" w:space="0" w:color="auto"/>
        <w:bottom w:val="none" w:sz="0" w:space="0" w:color="auto"/>
        <w:right w:val="none" w:sz="0" w:space="0" w:color="auto"/>
      </w:divBdr>
    </w:div>
    <w:div w:id="1428577557">
      <w:bodyDiv w:val="1"/>
      <w:marLeft w:val="0"/>
      <w:marRight w:val="0"/>
      <w:marTop w:val="0"/>
      <w:marBottom w:val="0"/>
      <w:divBdr>
        <w:top w:val="none" w:sz="0" w:space="0" w:color="auto"/>
        <w:left w:val="none" w:sz="0" w:space="0" w:color="auto"/>
        <w:bottom w:val="none" w:sz="0" w:space="0" w:color="auto"/>
        <w:right w:val="none" w:sz="0" w:space="0" w:color="auto"/>
      </w:divBdr>
    </w:div>
    <w:div w:id="1482503570">
      <w:bodyDiv w:val="1"/>
      <w:marLeft w:val="0"/>
      <w:marRight w:val="0"/>
      <w:marTop w:val="0"/>
      <w:marBottom w:val="0"/>
      <w:divBdr>
        <w:top w:val="none" w:sz="0" w:space="0" w:color="auto"/>
        <w:left w:val="none" w:sz="0" w:space="0" w:color="auto"/>
        <w:bottom w:val="none" w:sz="0" w:space="0" w:color="auto"/>
        <w:right w:val="none" w:sz="0" w:space="0" w:color="auto"/>
      </w:divBdr>
    </w:div>
    <w:div w:id="1496191477">
      <w:bodyDiv w:val="1"/>
      <w:marLeft w:val="0"/>
      <w:marRight w:val="0"/>
      <w:marTop w:val="0"/>
      <w:marBottom w:val="0"/>
      <w:divBdr>
        <w:top w:val="none" w:sz="0" w:space="0" w:color="auto"/>
        <w:left w:val="none" w:sz="0" w:space="0" w:color="auto"/>
        <w:bottom w:val="none" w:sz="0" w:space="0" w:color="auto"/>
        <w:right w:val="none" w:sz="0" w:space="0" w:color="auto"/>
      </w:divBdr>
    </w:div>
    <w:div w:id="1636371779">
      <w:bodyDiv w:val="1"/>
      <w:marLeft w:val="0"/>
      <w:marRight w:val="0"/>
      <w:marTop w:val="0"/>
      <w:marBottom w:val="0"/>
      <w:divBdr>
        <w:top w:val="none" w:sz="0" w:space="0" w:color="auto"/>
        <w:left w:val="none" w:sz="0" w:space="0" w:color="auto"/>
        <w:bottom w:val="none" w:sz="0" w:space="0" w:color="auto"/>
        <w:right w:val="none" w:sz="0" w:space="0" w:color="auto"/>
      </w:divBdr>
    </w:div>
    <w:div w:id="1734352469">
      <w:bodyDiv w:val="1"/>
      <w:marLeft w:val="0"/>
      <w:marRight w:val="0"/>
      <w:marTop w:val="0"/>
      <w:marBottom w:val="0"/>
      <w:divBdr>
        <w:top w:val="none" w:sz="0" w:space="0" w:color="auto"/>
        <w:left w:val="none" w:sz="0" w:space="0" w:color="auto"/>
        <w:bottom w:val="none" w:sz="0" w:space="0" w:color="auto"/>
        <w:right w:val="none" w:sz="0" w:space="0" w:color="auto"/>
      </w:divBdr>
    </w:div>
    <w:div w:id="1824468907">
      <w:bodyDiv w:val="1"/>
      <w:marLeft w:val="0"/>
      <w:marRight w:val="0"/>
      <w:marTop w:val="0"/>
      <w:marBottom w:val="0"/>
      <w:divBdr>
        <w:top w:val="none" w:sz="0" w:space="0" w:color="auto"/>
        <w:left w:val="none" w:sz="0" w:space="0" w:color="auto"/>
        <w:bottom w:val="none" w:sz="0" w:space="0" w:color="auto"/>
        <w:right w:val="none" w:sz="0" w:space="0" w:color="auto"/>
      </w:divBdr>
      <w:divsChild>
        <w:div w:id="2136634429">
          <w:marLeft w:val="0"/>
          <w:marRight w:val="0"/>
          <w:marTop w:val="150"/>
          <w:marBottom w:val="0"/>
          <w:divBdr>
            <w:top w:val="none" w:sz="0" w:space="0" w:color="auto"/>
            <w:left w:val="none" w:sz="0" w:space="0" w:color="auto"/>
            <w:bottom w:val="none" w:sz="0" w:space="0" w:color="auto"/>
            <w:right w:val="none" w:sz="0" w:space="0" w:color="auto"/>
          </w:divBdr>
        </w:div>
        <w:div w:id="2113085847">
          <w:marLeft w:val="300"/>
          <w:marRight w:val="0"/>
          <w:marTop w:val="0"/>
          <w:marBottom w:val="0"/>
          <w:divBdr>
            <w:top w:val="none" w:sz="0" w:space="0" w:color="auto"/>
            <w:left w:val="none" w:sz="0" w:space="0" w:color="auto"/>
            <w:bottom w:val="none" w:sz="0" w:space="0" w:color="auto"/>
            <w:right w:val="none" w:sz="0" w:space="0" w:color="auto"/>
          </w:divBdr>
        </w:div>
        <w:div w:id="870342076">
          <w:marLeft w:val="300"/>
          <w:marRight w:val="0"/>
          <w:marTop w:val="0"/>
          <w:marBottom w:val="0"/>
          <w:divBdr>
            <w:top w:val="none" w:sz="0" w:space="0" w:color="auto"/>
            <w:left w:val="none" w:sz="0" w:space="0" w:color="auto"/>
            <w:bottom w:val="none" w:sz="0" w:space="0" w:color="auto"/>
            <w:right w:val="none" w:sz="0" w:space="0" w:color="auto"/>
          </w:divBdr>
        </w:div>
      </w:divsChild>
    </w:div>
    <w:div w:id="1868104946">
      <w:bodyDiv w:val="1"/>
      <w:marLeft w:val="0"/>
      <w:marRight w:val="0"/>
      <w:marTop w:val="0"/>
      <w:marBottom w:val="0"/>
      <w:divBdr>
        <w:top w:val="none" w:sz="0" w:space="0" w:color="auto"/>
        <w:left w:val="none" w:sz="0" w:space="0" w:color="auto"/>
        <w:bottom w:val="none" w:sz="0" w:space="0" w:color="auto"/>
        <w:right w:val="none" w:sz="0" w:space="0" w:color="auto"/>
      </w:divBdr>
    </w:div>
    <w:div w:id="2001348182">
      <w:bodyDiv w:val="1"/>
      <w:marLeft w:val="0"/>
      <w:marRight w:val="0"/>
      <w:marTop w:val="0"/>
      <w:marBottom w:val="0"/>
      <w:divBdr>
        <w:top w:val="none" w:sz="0" w:space="0" w:color="auto"/>
        <w:left w:val="none" w:sz="0" w:space="0" w:color="auto"/>
        <w:bottom w:val="none" w:sz="0" w:space="0" w:color="auto"/>
        <w:right w:val="none" w:sz="0" w:space="0" w:color="auto"/>
      </w:divBdr>
    </w:div>
    <w:div w:id="2083599289">
      <w:bodyDiv w:val="1"/>
      <w:marLeft w:val="0"/>
      <w:marRight w:val="0"/>
      <w:marTop w:val="0"/>
      <w:marBottom w:val="0"/>
      <w:divBdr>
        <w:top w:val="none" w:sz="0" w:space="0" w:color="auto"/>
        <w:left w:val="none" w:sz="0" w:space="0" w:color="auto"/>
        <w:bottom w:val="none" w:sz="0" w:space="0" w:color="auto"/>
        <w:right w:val="none" w:sz="0" w:space="0" w:color="auto"/>
      </w:divBdr>
    </w:div>
    <w:div w:id="2100564288">
      <w:bodyDiv w:val="1"/>
      <w:marLeft w:val="0"/>
      <w:marRight w:val="0"/>
      <w:marTop w:val="0"/>
      <w:marBottom w:val="0"/>
      <w:divBdr>
        <w:top w:val="none" w:sz="0" w:space="0" w:color="auto"/>
        <w:left w:val="none" w:sz="0" w:space="0" w:color="auto"/>
        <w:bottom w:val="none" w:sz="0" w:space="0" w:color="auto"/>
        <w:right w:val="none" w:sz="0" w:space="0" w:color="auto"/>
      </w:divBdr>
    </w:div>
    <w:div w:id="21419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chranelibrary.com/cdsr/doi/10.1002/14651858.CD003260.pub2/references" TargetMode="External"/><Relationship Id="rId21" Type="http://schemas.openxmlformats.org/officeDocument/2006/relationships/hyperlink" Target="https://www.cochranelibrary.com/cdsr/doi/10.1002/14651858.CD003260.pub2/references" TargetMode="External"/><Relationship Id="rId42" Type="http://schemas.openxmlformats.org/officeDocument/2006/relationships/hyperlink" Target="https://www.cochranelibrary.com/cdsr/doi/10.1002/14651858.CD003260.pub2/references" TargetMode="External"/><Relationship Id="rId47" Type="http://schemas.openxmlformats.org/officeDocument/2006/relationships/hyperlink" Target="https://www.cochranelibrary.com/cdsr/doi/10.1002/14651858.CD003260.pub2/references" TargetMode="External"/><Relationship Id="rId63" Type="http://schemas.openxmlformats.org/officeDocument/2006/relationships/chart" Target="charts/chart8.xml"/><Relationship Id="rId68" Type="http://schemas.openxmlformats.org/officeDocument/2006/relationships/hyperlink" Target="https://patenton.ru/patent/RU2663451C1" TargetMode="External"/><Relationship Id="rId84" Type="http://schemas.openxmlformats.org/officeDocument/2006/relationships/image" Target="media/image11.png"/><Relationship Id="rId16" Type="http://schemas.openxmlformats.org/officeDocument/2006/relationships/image" Target="media/image9.jpg"/><Relationship Id="rId11" Type="http://schemas.openxmlformats.org/officeDocument/2006/relationships/image" Target="media/image5.png"/><Relationship Id="rId32" Type="http://schemas.openxmlformats.org/officeDocument/2006/relationships/hyperlink" Target="https://www.cochranelibrary.com/cdsr/doi/10.1002/14651858.CD003260.pub2/references" TargetMode="External"/><Relationship Id="rId37" Type="http://schemas.openxmlformats.org/officeDocument/2006/relationships/hyperlink" Target="https://www.cochranelibrary.com/cdsr/doi/10.1002/14651858.CD003260.pub2/references" TargetMode="External"/><Relationship Id="rId53" Type="http://schemas.openxmlformats.org/officeDocument/2006/relationships/hyperlink" Target="https://www.cochranelibrary.com/cdsr/doi/10.1002/14651858.CD003260.pub2/references" TargetMode="External"/><Relationship Id="rId58" Type="http://schemas.openxmlformats.org/officeDocument/2006/relationships/chart" Target="charts/chart3.xml"/><Relationship Id="rId74" Type="http://schemas.openxmlformats.org/officeDocument/2006/relationships/hyperlink" Target="https://blogs.scientificamerican.com/observations/to-prevent-alzheimers-we-must-study-differences-between-the-sexes/" TargetMode="External"/><Relationship Id="rId79" Type="http://schemas.openxmlformats.org/officeDocument/2006/relationships/hyperlink" Target="https://www.polismed.com/articles-bolezn-al-cgejjmera-prichiny-simptomy-diagnostika-i-lechenie.html" TargetMode="External"/><Relationship Id="rId5" Type="http://schemas.openxmlformats.org/officeDocument/2006/relationships/footnotes" Target="footnotes.xml"/><Relationship Id="rId19" Type="http://schemas.openxmlformats.org/officeDocument/2006/relationships/hyperlink" Target="https://www.cochranelibrary.com/cdsr/doi/10.1002/14651858.CD003260.pub2/references" TargetMode="External"/><Relationship Id="rId14" Type="http://schemas.openxmlformats.org/officeDocument/2006/relationships/image" Target="media/image8.png"/><Relationship Id="rId22" Type="http://schemas.openxmlformats.org/officeDocument/2006/relationships/hyperlink" Target="https://www.cochranelibrary.com/cdsr/doi/10.1002/14651858.CD003260.pub2/references" TargetMode="External"/><Relationship Id="rId27" Type="http://schemas.openxmlformats.org/officeDocument/2006/relationships/hyperlink" Target="https://www.cochranelibrary.com/cdsr/doi/10.1002/14651858.CD003260.pub2/references" TargetMode="External"/><Relationship Id="rId30" Type="http://schemas.openxmlformats.org/officeDocument/2006/relationships/hyperlink" Target="https://www.cochranelibrary.com/cdsr/doi/10.1002/14651858.CD003260.pub2/references" TargetMode="External"/><Relationship Id="rId35" Type="http://schemas.openxmlformats.org/officeDocument/2006/relationships/hyperlink" Target="https://www.cochranelibrary.com/cdsr/doi/10.1002/14651858.CD003260.pub2/references" TargetMode="External"/><Relationship Id="rId43" Type="http://schemas.openxmlformats.org/officeDocument/2006/relationships/hyperlink" Target="https://www.cochranelibrary.com/cdsr/doi/10.1002/14651858.CD003260.pub2/references" TargetMode="External"/><Relationship Id="rId48" Type="http://schemas.openxmlformats.org/officeDocument/2006/relationships/hyperlink" Target="https://www.cochranelibrary.com/cdsr/doi/10.1002/14651858.CD003260.pub2/references" TargetMode="External"/><Relationship Id="rId56" Type="http://schemas.openxmlformats.org/officeDocument/2006/relationships/image" Target="media/image10.png"/><Relationship Id="rId64" Type="http://schemas.openxmlformats.org/officeDocument/2006/relationships/chart" Target="charts/chart9.xml"/><Relationship Id="rId69" Type="http://schemas.openxmlformats.org/officeDocument/2006/relationships/hyperlink" Target="https://cyberleninka.ru/article/n/mozg-i-mikrobiota-neyroendokrinnye-i-geriatricheskie-aspekty/viewer" TargetMode="External"/><Relationship Id="rId77" Type="http://schemas.openxmlformats.org/officeDocument/2006/relationships/hyperlink" Target="https://www.cochranelibrary.com/cdsr/doi/10.1002/14651858.CD010860.pub2/full" TargetMode="External"/><Relationship Id="rId8" Type="http://schemas.openxmlformats.org/officeDocument/2006/relationships/image" Target="media/image2.png"/><Relationship Id="rId51" Type="http://schemas.openxmlformats.org/officeDocument/2006/relationships/hyperlink" Target="https://www.cochranelibrary.com/cdsr/doi/10.1002/14651858.CD003260.pub2/references" TargetMode="External"/><Relationship Id="rId72" Type="http://schemas.openxmlformats.org/officeDocument/2006/relationships/hyperlink" Target="https://cyberleninka.ru/article/n/mozg-i-mikrobiota-neyroendokrinnye-i-geriatricheskie-aspekty/viewer" TargetMode="External"/><Relationship Id="rId80" Type="http://schemas.openxmlformats.org/officeDocument/2006/relationships/hyperlink" Target="https://www.cochranelibrary.com/cdsr/doi/10.1002/14651858.CD003260.pub2/full"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eur-lex.europa.eu/legal-content/DE/TXT/?uri=celex:52015XG1216(02)" TargetMode="External"/><Relationship Id="rId25" Type="http://schemas.openxmlformats.org/officeDocument/2006/relationships/hyperlink" Target="https://www.cochranelibrary.com/cdsr/doi/10.1002/14651858.CD003260.pub2/references" TargetMode="External"/><Relationship Id="rId33" Type="http://schemas.openxmlformats.org/officeDocument/2006/relationships/hyperlink" Target="https://www.cochranelibrary.com/cdsr/doi/10.1002/14651858.CD003260.pub2/references" TargetMode="External"/><Relationship Id="rId38" Type="http://schemas.openxmlformats.org/officeDocument/2006/relationships/hyperlink" Target="https://www.cochranelibrary.com/cdsr/doi/10.1002/14651858.CD003260.pub2/references" TargetMode="External"/><Relationship Id="rId46" Type="http://schemas.openxmlformats.org/officeDocument/2006/relationships/hyperlink" Target="https://www.cochranelibrary.com/cdsr/doi/10.1002/14651858.CD003260.pub2/references" TargetMode="External"/><Relationship Id="rId59" Type="http://schemas.openxmlformats.org/officeDocument/2006/relationships/chart" Target="charts/chart4.xml"/><Relationship Id="rId67" Type="http://schemas.openxmlformats.org/officeDocument/2006/relationships/hyperlink" Target="https://patenton.ru/patent/RU2663451C1" TargetMode="External"/><Relationship Id="rId20" Type="http://schemas.openxmlformats.org/officeDocument/2006/relationships/hyperlink" Target="https://www.cochranelibrary.com/cdsr/doi/10.1002/14651858.CD003260.pub2/references" TargetMode="External"/><Relationship Id="rId41" Type="http://schemas.openxmlformats.org/officeDocument/2006/relationships/hyperlink" Target="https://www.cochranelibrary.com/cdsr/doi/10.1002/14651858.CD003260.pub2/references" TargetMode="External"/><Relationship Id="rId54" Type="http://schemas.openxmlformats.org/officeDocument/2006/relationships/hyperlink" Target="https://www.cochranelibrary.com/cdsr/doi/10.1002/14651858.CD003260.pub2/references" TargetMode="External"/><Relationship Id="rId62" Type="http://schemas.openxmlformats.org/officeDocument/2006/relationships/chart" Target="charts/chart7.xml"/><Relationship Id="rId70" Type="http://schemas.openxmlformats.org/officeDocument/2006/relationships/hyperlink" Target="https://cyberleninka.ru/article/n/sovremennyy-vzglyad-na-vozmozhnosti-profilaktiki-dementsii" TargetMode="External"/><Relationship Id="rId75" Type="http://schemas.openxmlformats.org/officeDocument/2006/relationships/hyperlink" Target="https://www.elibrary.ru/item.asp?id=38578844" TargetMode="External"/><Relationship Id="rId83" Type="http://schemas.openxmlformats.org/officeDocument/2006/relationships/hyperlink" Target="https://cyberleninka.ru/article/n/sovremennyy-vzglyad-na-vozmozhnosti-profilaktiki-dementsii/viewer"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s.scientificamerican.com/observations/to-prevent-alzheimers-we-must-study-differences-between-the-sexes/" TargetMode="External"/><Relationship Id="rId23" Type="http://schemas.openxmlformats.org/officeDocument/2006/relationships/hyperlink" Target="https://www.cochranelibrary.com/cdsr/doi/10.1002/14651858.CD003260.pub2/references" TargetMode="External"/><Relationship Id="rId28" Type="http://schemas.openxmlformats.org/officeDocument/2006/relationships/hyperlink" Target="https://www.cochranelibrary.com/cdsr/doi/10.1002/14651858.CD003260.pub2/references" TargetMode="External"/><Relationship Id="rId36" Type="http://schemas.openxmlformats.org/officeDocument/2006/relationships/hyperlink" Target="https://www.cochranelibrary.com/cdsr/doi/10.1002/14651858.CD003260.pub2/references" TargetMode="External"/><Relationship Id="rId49" Type="http://schemas.openxmlformats.org/officeDocument/2006/relationships/hyperlink" Target="https://www.cochranelibrary.com/cdsr/doi/10.1002/14651858.CD003260.pub2/references" TargetMode="External"/><Relationship Id="rId57" Type="http://schemas.openxmlformats.org/officeDocument/2006/relationships/chart" Target="charts/chart2.xml"/><Relationship Id="rId10" Type="http://schemas.openxmlformats.org/officeDocument/2006/relationships/image" Target="media/image4.png"/><Relationship Id="rId31" Type="http://schemas.openxmlformats.org/officeDocument/2006/relationships/hyperlink" Target="https://www.cochranelibrary.com/cdsr/doi/10.1002/14651858.CD003260.pub2/references" TargetMode="External"/><Relationship Id="rId44" Type="http://schemas.openxmlformats.org/officeDocument/2006/relationships/hyperlink" Target="https://www.cochranelibrary.com/cdsr/doi/10.1002/14651858.CD003260.pub2/references" TargetMode="External"/><Relationship Id="rId52" Type="http://schemas.openxmlformats.org/officeDocument/2006/relationships/hyperlink" Target="https://www.cochranelibrary.com/cdsr/doi/10.1002/14651858.CD003260.pub2/references" TargetMode="External"/><Relationship Id="rId60" Type="http://schemas.openxmlformats.org/officeDocument/2006/relationships/chart" Target="charts/chart5.xml"/><Relationship Id="rId65" Type="http://schemas.openxmlformats.org/officeDocument/2006/relationships/hyperlink" Target="https://www.polismed.com/articles-bolezn-al-cgejjmera-prichiny-simptomy-diagnostika-i-lechenie.html" TargetMode="External"/><Relationship Id="rId73" Type="http://schemas.openxmlformats.org/officeDocument/2006/relationships/hyperlink" Target="https://tass.ru/plus-one/5417370" TargetMode="External"/><Relationship Id="rId78" Type="http://schemas.openxmlformats.org/officeDocument/2006/relationships/hyperlink" Target="https://patenton.ru/patent/RU2496465C1" TargetMode="External"/><Relationship Id="rId81" Type="http://schemas.openxmlformats.org/officeDocument/2006/relationships/hyperlink" Target="https://www.cochranelibrary.com/cdsr/doi/10.1002/14651858.CD003260.pub2/references" TargetMode="External"/><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cochranelibrary.com/cdsr/doi/10.1002/14651858.CD010775.pub2/full" TargetMode="External"/><Relationship Id="rId39" Type="http://schemas.openxmlformats.org/officeDocument/2006/relationships/hyperlink" Target="https://www.cochranelibrary.com/cdsr/doi/10.1002/14651858.CD003260.pub2/references" TargetMode="External"/><Relationship Id="rId34" Type="http://schemas.openxmlformats.org/officeDocument/2006/relationships/hyperlink" Target="https://www.cochranelibrary.com/cdsr/doi/10.1002/14651858.CD003260.pub2/references" TargetMode="External"/><Relationship Id="rId50" Type="http://schemas.openxmlformats.org/officeDocument/2006/relationships/hyperlink" Target="https://www.cochranelibrary.com/cdsr/doi/10.1002/14651858.CD003260.pub2/references" TargetMode="External"/><Relationship Id="rId55" Type="http://schemas.openxmlformats.org/officeDocument/2006/relationships/chart" Target="charts/chart1.xml"/><Relationship Id="rId76" Type="http://schemas.openxmlformats.org/officeDocument/2006/relationships/hyperlink" Target="https://cyberleninka.ru/article/n/neyroseti-neyroendokrinologiya-i-bolezn-altsgeymera/viewer" TargetMode="External"/><Relationship Id="rId7" Type="http://schemas.openxmlformats.org/officeDocument/2006/relationships/image" Target="media/image1.png"/><Relationship Id="rId71" Type="http://schemas.openxmlformats.org/officeDocument/2006/relationships/hyperlink" Target="https://cyberleninka.ru/article/n/genetika-i-epigenetika-sna-i-snovideniy" TargetMode="External"/><Relationship Id="rId2" Type="http://schemas.openxmlformats.org/officeDocument/2006/relationships/styles" Target="styles.xml"/><Relationship Id="rId29" Type="http://schemas.openxmlformats.org/officeDocument/2006/relationships/hyperlink" Target="https://www.cochranelibrary.com/cdsr/doi/10.1002/14651858.CD003260.pub2/references" TargetMode="External"/><Relationship Id="rId24" Type="http://schemas.openxmlformats.org/officeDocument/2006/relationships/hyperlink" Target="https://www.cochranelibrary.com/cdsr/doi/10.1002/14651858.CD003260.pub2/references" TargetMode="External"/><Relationship Id="rId40" Type="http://schemas.openxmlformats.org/officeDocument/2006/relationships/hyperlink" Target="https://www.cochranelibrary.com/cdsr/doi/10.1002/14651858.CD003260.pub2/references" TargetMode="External"/><Relationship Id="rId45" Type="http://schemas.openxmlformats.org/officeDocument/2006/relationships/hyperlink" Target="https://www.cochranelibrary.com/cdsr/doi/10.1002/14651858.CD003260.pub2/references" TargetMode="External"/><Relationship Id="rId66" Type="http://schemas.openxmlformats.org/officeDocument/2006/relationships/hyperlink" Target="https://patenton.ru/patent/RU2663451C1" TargetMode="External"/><Relationship Id="rId87" Type="http://schemas.openxmlformats.org/officeDocument/2006/relationships/fontTable" Target="fontTable.xml"/><Relationship Id="rId61" Type="http://schemas.openxmlformats.org/officeDocument/2006/relationships/chart" Target="charts/chart6.xml"/><Relationship Id="rId82" Type="http://schemas.openxmlformats.org/officeDocument/2006/relationships/hyperlink" Target="https://cyberleninka.ru/article/n/sovremennyy-vzglyad-na-vozmozhnosti-profilaktiki-dementsii/viewe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Количество респондентов</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859-4EEE-B2C5-AE473A06DEE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859-4EEE-B2C5-AE473A06DE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Женщины</c:v>
                </c:pt>
                <c:pt idx="1">
                  <c:v>Мужчины</c:v>
                </c:pt>
              </c:strCache>
            </c:strRef>
          </c:cat>
          <c:val>
            <c:numRef>
              <c:f>Лист1!$B$2:$B$5</c:f>
              <c:numCache>
                <c:formatCode>General</c:formatCode>
                <c:ptCount val="2"/>
                <c:pt idx="0">
                  <c:v>83</c:v>
                </c:pt>
                <c:pt idx="1">
                  <c:v>24</c:v>
                </c:pt>
              </c:numCache>
            </c:numRef>
          </c:val>
          <c:extLst>
            <c:ext xmlns:c16="http://schemas.microsoft.com/office/drawing/2014/chart" uri="{C3380CC4-5D6E-409C-BE32-E72D297353CC}">
              <c16:uniqueId val="{00000004-D859-4EEE-B2C5-AE473A06DE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Количество респондентов</c:v>
                </c:pt>
              </c:strCache>
            </c:strRef>
          </c:tx>
          <c:spPr>
            <a:solidFill>
              <a:schemeClr val="accent2">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1"/>
              </a:solidFill>
              <a:ln w="9525" cap="flat" cmpd="sng" algn="ctr">
                <a:solidFill>
                  <a:schemeClr val="lt1">
                    <a:alpha val="50000"/>
                  </a:schemeClr>
                </a:solidFill>
                <a:round/>
              </a:ln>
              <a:effectLst/>
            </c:spPr>
            <c:extLst>
              <c:ext xmlns:c16="http://schemas.microsoft.com/office/drawing/2014/chart" uri="{C3380CC4-5D6E-409C-BE32-E72D297353CC}">
                <c16:uniqueId val="{00000001-2694-4C55-B511-4E7A05B057CE}"/>
              </c:ext>
            </c:extLst>
          </c:dPt>
          <c:dPt>
            <c:idx val="2"/>
            <c:invertIfNegative val="0"/>
            <c:bubble3D val="0"/>
            <c:spPr>
              <a:solidFill>
                <a:schemeClr val="accent6"/>
              </a:solidFill>
              <a:ln w="9525" cap="flat" cmpd="sng" algn="ctr">
                <a:solidFill>
                  <a:schemeClr val="lt1">
                    <a:alpha val="50000"/>
                  </a:schemeClr>
                </a:solidFill>
                <a:round/>
              </a:ln>
              <a:effectLst/>
            </c:spPr>
            <c:extLst>
              <c:ext xmlns:c16="http://schemas.microsoft.com/office/drawing/2014/chart" uri="{C3380CC4-5D6E-409C-BE32-E72D297353CC}">
                <c16:uniqueId val="{00000003-2694-4C55-B511-4E7A05B057CE}"/>
              </c:ext>
            </c:extLst>
          </c:dPt>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Высшее</c:v>
                </c:pt>
                <c:pt idx="1">
                  <c:v>Среднее</c:v>
                </c:pt>
                <c:pt idx="2">
                  <c:v>10 классов</c:v>
                </c:pt>
              </c:strCache>
            </c:strRef>
          </c:cat>
          <c:val>
            <c:numRef>
              <c:f>Лист1!$B$2:$B$5</c:f>
              <c:numCache>
                <c:formatCode>General</c:formatCode>
                <c:ptCount val="3"/>
                <c:pt idx="0">
                  <c:v>81</c:v>
                </c:pt>
                <c:pt idx="1">
                  <c:v>25</c:v>
                </c:pt>
                <c:pt idx="2">
                  <c:v>1</c:v>
                </c:pt>
              </c:numCache>
            </c:numRef>
          </c:val>
          <c:extLst>
            <c:ext xmlns:c16="http://schemas.microsoft.com/office/drawing/2014/chart" uri="{C3380CC4-5D6E-409C-BE32-E72D297353CC}">
              <c16:uniqueId val="{00000004-2694-4C55-B511-4E7A05B057CE}"/>
            </c:ext>
          </c:extLst>
        </c:ser>
        <c:dLbls>
          <c:dLblPos val="inEnd"/>
          <c:showLegendKey val="0"/>
          <c:showVal val="1"/>
          <c:showCatName val="0"/>
          <c:showSerName val="0"/>
          <c:showPercent val="0"/>
          <c:showBubbleSize val="0"/>
        </c:dLbls>
        <c:gapWidth val="65"/>
        <c:axId val="286333928"/>
        <c:axId val="286331304"/>
        <c:extLst>
          <c:ext xmlns:c15="http://schemas.microsoft.com/office/drawing/2012/chart" uri="{02D57815-91ED-43cb-92C2-25804820EDAC}">
            <c15:filteredBarSeries>
              <c15:ser>
                <c:idx val="1"/>
                <c:order val="1"/>
                <c:tx>
                  <c:strRef>
                    <c:extLst>
                      <c:ext uri="{02D57815-91ED-43cb-92C2-25804820EDAC}">
                        <c15:formulaRef>
                          <c15:sqref>Лист1!$C$1</c15:sqref>
                        </c15:formulaRef>
                      </c:ext>
                    </c:extLst>
                    <c:strCache>
                      <c:ptCount val="1"/>
                      <c:pt idx="0">
                        <c:v>Столбец1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Лист1!$A$2:$A$5</c15:sqref>
                        </c15:formulaRef>
                      </c:ext>
                    </c:extLst>
                    <c:strCache>
                      <c:ptCount val="3"/>
                      <c:pt idx="0">
                        <c:v>Высшее</c:v>
                      </c:pt>
                      <c:pt idx="1">
                        <c:v>Среднее</c:v>
                      </c:pt>
                      <c:pt idx="2">
                        <c:v>10 классов</c:v>
                      </c:pt>
                    </c:strCache>
                  </c:strRef>
                </c:cat>
                <c:val>
                  <c:numRef>
                    <c:extLst>
                      <c:ext uri="{02D57815-91ED-43cb-92C2-25804820EDAC}">
                        <c15:formulaRef>
                          <c15:sqref>Лист1!$C$2:$C$5</c15:sqref>
                        </c15:formulaRef>
                      </c:ext>
                    </c:extLst>
                    <c:numCache>
                      <c:formatCode>General</c:formatCode>
                      <c:ptCount val="3"/>
                    </c:numCache>
                  </c:numRef>
                </c:val>
                <c:extLst>
                  <c:ext xmlns:c16="http://schemas.microsoft.com/office/drawing/2014/chart" uri="{C3380CC4-5D6E-409C-BE32-E72D297353CC}">
                    <c16:uniqueId val="{00000005-2694-4C55-B511-4E7A05B057C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Столбец2</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Лист1!$A$2:$A$5</c15:sqref>
                        </c15:formulaRef>
                      </c:ext>
                    </c:extLst>
                    <c:strCache>
                      <c:ptCount val="3"/>
                      <c:pt idx="0">
                        <c:v>Высшее</c:v>
                      </c:pt>
                      <c:pt idx="1">
                        <c:v>Среднее</c:v>
                      </c:pt>
                      <c:pt idx="2">
                        <c:v>10 классов</c:v>
                      </c:pt>
                    </c:strCache>
                  </c:strRef>
                </c:cat>
                <c:val>
                  <c:numRef>
                    <c:extLst xmlns:c15="http://schemas.microsoft.com/office/drawing/2012/chart">
                      <c:ext xmlns:c15="http://schemas.microsoft.com/office/drawing/2012/chart" uri="{02D57815-91ED-43cb-92C2-25804820EDAC}">
                        <c15:formulaRef>
                          <c15:sqref>Лист1!$D$2:$D$5</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6-2694-4C55-B511-4E7A05B057CE}"/>
                  </c:ext>
                </c:extLst>
              </c15:ser>
            </c15:filteredBarSeries>
          </c:ext>
        </c:extLst>
      </c:barChart>
      <c:catAx>
        <c:axId val="2863339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97" b="0" i="0" u="none" strike="noStrike" kern="1200" cap="all" baseline="0">
                <a:solidFill>
                  <a:schemeClr val="dk1">
                    <a:lumMod val="75000"/>
                    <a:lumOff val="25000"/>
                  </a:schemeClr>
                </a:solidFill>
                <a:latin typeface="+mn-lt"/>
                <a:ea typeface="+mn-ea"/>
                <a:cs typeface="+mn-cs"/>
              </a:defRPr>
            </a:pPr>
            <a:endParaRPr lang="ru-RU"/>
          </a:p>
        </c:txPr>
        <c:crossAx val="286331304"/>
        <c:crosses val="autoZero"/>
        <c:auto val="1"/>
        <c:lblAlgn val="ctr"/>
        <c:lblOffset val="100"/>
        <c:noMultiLvlLbl val="0"/>
      </c:catAx>
      <c:valAx>
        <c:axId val="2863313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633392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197"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Зрительные навыки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22F-4165-B933-B2135BFBC80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22F-4165-B933-B2135BFBC80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22F-4165-B933-B2135BFBC80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22F-4165-B933-B2135BFBC80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Лист1!$A$2:$A$5</c:f>
              <c:numCache>
                <c:formatCode>General</c:formatCode>
                <c:ptCount val="4"/>
                <c:pt idx="0">
                  <c:v>2</c:v>
                </c:pt>
                <c:pt idx="1">
                  <c:v>3</c:v>
                </c:pt>
                <c:pt idx="2">
                  <c:v>4</c:v>
                </c:pt>
                <c:pt idx="3">
                  <c:v>4.5</c:v>
                </c:pt>
              </c:numCache>
            </c:numRef>
          </c:cat>
          <c:val>
            <c:numRef>
              <c:f>Лист1!$B$2:$B$5</c:f>
              <c:numCache>
                <c:formatCode>General</c:formatCode>
                <c:ptCount val="4"/>
                <c:pt idx="0">
                  <c:v>1</c:v>
                </c:pt>
                <c:pt idx="1">
                  <c:v>5</c:v>
                </c:pt>
                <c:pt idx="2">
                  <c:v>6</c:v>
                </c:pt>
                <c:pt idx="3">
                  <c:v>1</c:v>
                </c:pt>
              </c:numCache>
            </c:numRef>
          </c:val>
          <c:extLst>
            <c:ext xmlns:c16="http://schemas.microsoft.com/office/drawing/2014/chart" uri="{C3380CC4-5D6E-409C-BE32-E72D297353CC}">
              <c16:uniqueId val="{00000008-322F-4165-B933-B2135BFBC80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ru-RU" sz="2200" b="1" i="0" u="none" strike="noStrike" kern="1200" baseline="0">
                <a:solidFill>
                  <a:prstClr val="black">
                    <a:lumMod val="75000"/>
                    <a:lumOff val="25000"/>
                  </a:prstClr>
                </a:solidFill>
                <a:latin typeface="+mn-lt"/>
                <a:ea typeface="+mn-ea"/>
                <a:cs typeface="+mn-cs"/>
              </a:defRPr>
            </a:pPr>
            <a:r>
              <a:rPr lang="ru-RU" sz="2200" b="1" i="0" u="none" strike="noStrike" kern="1200" baseline="0" dirty="0">
                <a:solidFill>
                  <a:prstClr val="black">
                    <a:lumMod val="75000"/>
                    <a:lumOff val="25000"/>
                  </a:prstClr>
                </a:solidFill>
                <a:latin typeface="+mn-lt"/>
                <a:ea typeface="+mn-ea"/>
                <a:cs typeface="+mn-cs"/>
              </a:rPr>
              <a:t>Называние</a:t>
            </a:r>
          </a:p>
        </c:rich>
      </c:tx>
      <c:layout>
        <c:manualLayout>
          <c:xMode val="edge"/>
          <c:yMode val="edge"/>
          <c:x val="0.31584224878543354"/>
          <c:y val="1.8647991266279366E-2"/>
        </c:manualLayout>
      </c:layout>
      <c:overlay val="0"/>
      <c:spPr>
        <a:noFill/>
        <a:ln>
          <a:noFill/>
        </a:ln>
        <a:effectLst/>
      </c:spPr>
      <c:txPr>
        <a:bodyPr rot="0" spcFirstLastPara="1" vertOverflow="ellipsis" vert="horz" wrap="square" anchor="ctr" anchorCtr="1"/>
        <a:lstStyle/>
        <a:p>
          <a:pPr algn="ctr" rtl="0">
            <a:defRPr lang="ru-RU" sz="2200" b="1" i="0" u="none" strike="noStrike" kern="1200" baseline="0">
              <a:solidFill>
                <a:prstClr val="black">
                  <a:lumMod val="75000"/>
                  <a:lumOff val="25000"/>
                </a:prstClr>
              </a:solidFill>
              <a:latin typeface="+mn-lt"/>
              <a:ea typeface="+mn-ea"/>
              <a:cs typeface="+mn-cs"/>
            </a:defRPr>
          </a:pPr>
          <a:endParaRPr lang="ru-RU"/>
        </a:p>
      </c:txPr>
    </c:title>
    <c:autoTitleDeleted val="0"/>
    <c:plotArea>
      <c:layout/>
      <c:pieChart>
        <c:varyColors val="1"/>
        <c:ser>
          <c:idx val="0"/>
          <c:order val="0"/>
          <c:tx>
            <c:strRef>
              <c:f>Лист1!$B$1</c:f>
              <c:strCache>
                <c:ptCount val="1"/>
                <c:pt idx="0">
                  <c:v>Называние, количество респондентов</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42D-46B4-B703-6D4A1CE1B05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42D-46B4-B703-6D4A1CE1B05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Лист1!$A$2:$A$5</c:f>
              <c:numCache>
                <c:formatCode>General</c:formatCode>
                <c:ptCount val="2"/>
                <c:pt idx="0">
                  <c:v>2</c:v>
                </c:pt>
                <c:pt idx="1">
                  <c:v>3</c:v>
                </c:pt>
              </c:numCache>
            </c:numRef>
          </c:cat>
          <c:val>
            <c:numRef>
              <c:f>Лист1!$B$2:$B$5</c:f>
              <c:numCache>
                <c:formatCode>General</c:formatCode>
                <c:ptCount val="2"/>
                <c:pt idx="0">
                  <c:v>1</c:v>
                </c:pt>
                <c:pt idx="1">
                  <c:v>106</c:v>
                </c:pt>
              </c:numCache>
            </c:numRef>
          </c:val>
          <c:extLst>
            <c:ext xmlns:c16="http://schemas.microsoft.com/office/drawing/2014/chart" uri="{C3380CC4-5D6E-409C-BE32-E72D297353CC}">
              <c16:uniqueId val="{00000004-D42D-46B4-B703-6D4A1CE1B05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6538301419633445"/>
          <c:y val="0.42995684776509208"/>
          <c:w val="6.3784706522107201E-2"/>
          <c:h val="0.1272037728655085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Внимание</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Внимание, кол-во респондентов</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E8-41E2-96DF-4833E710656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E8-41E2-96DF-4833E710656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E8-41E2-96DF-4833E710656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EE8-41E2-96DF-4833E710656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Лист1!$A$2:$A$5</c:f>
              <c:numCache>
                <c:formatCode>General</c:formatCode>
                <c:ptCount val="4"/>
                <c:pt idx="0">
                  <c:v>2</c:v>
                </c:pt>
                <c:pt idx="1">
                  <c:v>4</c:v>
                </c:pt>
                <c:pt idx="2">
                  <c:v>5</c:v>
                </c:pt>
                <c:pt idx="3">
                  <c:v>6</c:v>
                </c:pt>
              </c:numCache>
            </c:numRef>
          </c:cat>
          <c:val>
            <c:numRef>
              <c:f>Лист1!$B$2:$B$5</c:f>
              <c:numCache>
                <c:formatCode>General</c:formatCode>
                <c:ptCount val="4"/>
                <c:pt idx="0">
                  <c:v>4</c:v>
                </c:pt>
                <c:pt idx="1">
                  <c:v>67</c:v>
                </c:pt>
                <c:pt idx="2">
                  <c:v>18</c:v>
                </c:pt>
                <c:pt idx="3">
                  <c:v>19</c:v>
                </c:pt>
              </c:numCache>
            </c:numRef>
          </c:val>
          <c:extLst>
            <c:ext xmlns:c16="http://schemas.microsoft.com/office/drawing/2014/chart" uri="{C3380CC4-5D6E-409C-BE32-E72D297353CC}">
              <c16:uniqueId val="{00000008-1EE8-41E2-96DF-4833E710656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Речь</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20438812335958007"/>
          <c:y val="0.14799360793424651"/>
          <c:w val="0.63289041994750661"/>
          <c:h val="0.79392996119625558"/>
        </c:manualLayout>
      </c:layout>
      <c:pieChart>
        <c:varyColors val="1"/>
        <c:ser>
          <c:idx val="0"/>
          <c:order val="0"/>
          <c:tx>
            <c:strRef>
              <c:f>Лист1!$B$1</c:f>
              <c:strCache>
                <c:ptCount val="1"/>
                <c:pt idx="0">
                  <c:v>Речь, кол-во респондентов</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7E2-4237-8811-A610688902E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7E2-4237-8811-A610688902E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7E2-4237-8811-A610688902E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Лист1!$A$2:$A$5</c:f>
              <c:numCache>
                <c:formatCode>General</c:formatCode>
                <c:ptCount val="3"/>
                <c:pt idx="0">
                  <c:v>1</c:v>
                </c:pt>
                <c:pt idx="1">
                  <c:v>2</c:v>
                </c:pt>
                <c:pt idx="2">
                  <c:v>3</c:v>
                </c:pt>
              </c:numCache>
            </c:numRef>
          </c:cat>
          <c:val>
            <c:numRef>
              <c:f>Лист1!$B$2:$B$5</c:f>
              <c:numCache>
                <c:formatCode>General</c:formatCode>
                <c:ptCount val="3"/>
                <c:pt idx="0">
                  <c:v>24</c:v>
                </c:pt>
                <c:pt idx="1">
                  <c:v>74</c:v>
                </c:pt>
                <c:pt idx="2">
                  <c:v>10</c:v>
                </c:pt>
              </c:numCache>
            </c:numRef>
          </c:val>
          <c:extLst>
            <c:ext xmlns:c16="http://schemas.microsoft.com/office/drawing/2014/chart" uri="{C3380CC4-5D6E-409C-BE32-E72D297353CC}">
              <c16:uniqueId val="{00000006-37E2-4237-8811-A610688902E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85039370078738E-2"/>
          <c:y val="2.1093748702402271E-2"/>
          <c:w val="0.88041264763779525"/>
          <c:h val="0.78576779122983564"/>
        </c:manualLayout>
      </c:layout>
      <c:barChart>
        <c:barDir val="bar"/>
        <c:grouping val="clustered"/>
        <c:varyColors val="0"/>
        <c:ser>
          <c:idx val="0"/>
          <c:order val="0"/>
          <c:tx>
            <c:strRef>
              <c:f>Sheet1!$B$1</c:f>
              <c:strCache>
                <c:ptCount val="1"/>
                <c:pt idx="0">
                  <c:v>Частота распределения набранного балла</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7A1F-41CE-93A4-DA9782E6B7CA}"/>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1 балл</c:v>
                </c:pt>
                <c:pt idx="1">
                  <c:v>2 балла</c:v>
                </c:pt>
              </c:strCache>
            </c:strRef>
          </c:cat>
          <c:val>
            <c:numRef>
              <c:f>Sheet1!$B$2:$B$3</c:f>
              <c:numCache>
                <c:formatCode>General</c:formatCode>
                <c:ptCount val="2"/>
                <c:pt idx="0">
                  <c:v>27.1</c:v>
                </c:pt>
                <c:pt idx="1">
                  <c:v>73.8</c:v>
                </c:pt>
              </c:numCache>
            </c:numRef>
          </c:val>
          <c:extLst>
            <c:ext xmlns:c16="http://schemas.microsoft.com/office/drawing/2014/chart" uri="{C3380CC4-5D6E-409C-BE32-E72D297353CC}">
              <c16:uniqueId val="{00000002-7A1F-41CE-93A4-DA9782E6B7CA}"/>
            </c:ext>
          </c:extLst>
        </c:ser>
        <c:dLbls>
          <c:showLegendKey val="0"/>
          <c:showVal val="0"/>
          <c:showCatName val="0"/>
          <c:showSerName val="0"/>
          <c:showPercent val="0"/>
          <c:showBubbleSize val="0"/>
        </c:dLbls>
        <c:gapWidth val="182"/>
        <c:axId val="781690976"/>
        <c:axId val="781688896"/>
      </c:barChart>
      <c:catAx>
        <c:axId val="78169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781688896"/>
        <c:crosses val="autoZero"/>
        <c:auto val="1"/>
        <c:lblAlgn val="ctr"/>
        <c:lblOffset val="100"/>
        <c:noMultiLvlLbl val="0"/>
      </c:catAx>
      <c:valAx>
        <c:axId val="781688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dirty="0"/>
                  <a:t>Кол-во респондентов</a:t>
                </a:r>
                <a:endParaRPr lang="en-US" dirty="0"/>
              </a:p>
            </c:rich>
          </c:tx>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78169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Ориентация</a:t>
            </a:r>
            <a:endParaRPr lang="ru-RU" dirty="0"/>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5.9062319113333324E-2"/>
          <c:y val="0.21961076042686434"/>
          <c:w val="0.70893158018142832"/>
          <c:h val="0.74761596098548799"/>
        </c:manualLayout>
      </c:layout>
      <c:pieChart>
        <c:varyColors val="1"/>
        <c:ser>
          <c:idx val="0"/>
          <c:order val="0"/>
          <c:tx>
            <c:strRef>
              <c:f>Лист1!$B$1</c:f>
              <c:strCache>
                <c:ptCount val="1"/>
                <c:pt idx="0">
                  <c:v>Ориентация, кол-во респондентов</c:v>
                </c:pt>
              </c:strCache>
            </c:strRef>
          </c:tx>
          <c:explosion val="14"/>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9FE-4ADC-985C-E0731323127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Лист1!$A$2:$A$5</c:f>
              <c:numCache>
                <c:formatCode>General</c:formatCode>
                <c:ptCount val="1"/>
                <c:pt idx="0">
                  <c:v>6</c:v>
                </c:pt>
              </c:numCache>
            </c:numRef>
          </c:cat>
          <c:val>
            <c:numRef>
              <c:f>Лист1!$B$2:$B$5</c:f>
              <c:numCache>
                <c:formatCode>General</c:formatCode>
                <c:ptCount val="1"/>
                <c:pt idx="0">
                  <c:v>79</c:v>
                </c:pt>
              </c:numCache>
            </c:numRef>
          </c:val>
          <c:extLst>
            <c:ext xmlns:c16="http://schemas.microsoft.com/office/drawing/2014/chart" uri="{C3380CC4-5D6E-409C-BE32-E72D297353CC}">
              <c16:uniqueId val="{00000002-49FE-4ADC-985C-E0731323127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r>
              <a:rPr lang="ru-RU"/>
              <a:t>Отсроченное воспроизведение</a:t>
            </a:r>
          </a:p>
        </c:rich>
      </c:tx>
      <c:overlay val="0"/>
      <c:spPr>
        <a:noFill/>
        <a:ln>
          <a:noFill/>
        </a:ln>
        <a:effectLst/>
      </c:spPr>
      <c:txPr>
        <a:bodyPr rot="0" spcFirstLastPara="1" vertOverflow="ellipsis" vert="horz" wrap="square" anchor="ctr" anchorCtr="1"/>
        <a:lstStyle/>
        <a:p>
          <a:pPr>
            <a:defRPr sz="22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Отсроченное воспроизведение, кол-во респондентов</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B56-4A05-8B5D-70D456FD904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B56-4A05-8B5D-70D456FD904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B56-4A05-8B5D-70D456FD904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Лист1!$A$2:$A$5</c:f>
              <c:numCache>
                <c:formatCode>General</c:formatCode>
                <c:ptCount val="3"/>
                <c:pt idx="0">
                  <c:v>3</c:v>
                </c:pt>
                <c:pt idx="1">
                  <c:v>4</c:v>
                </c:pt>
                <c:pt idx="2">
                  <c:v>5</c:v>
                </c:pt>
              </c:numCache>
            </c:numRef>
          </c:cat>
          <c:val>
            <c:numRef>
              <c:f>Лист1!$B$2:$B$5</c:f>
              <c:numCache>
                <c:formatCode>General</c:formatCode>
                <c:ptCount val="3"/>
                <c:pt idx="0">
                  <c:v>9</c:v>
                </c:pt>
                <c:pt idx="1">
                  <c:v>21</c:v>
                </c:pt>
                <c:pt idx="2">
                  <c:v>49</c:v>
                </c:pt>
              </c:numCache>
            </c:numRef>
          </c:val>
          <c:extLst>
            <c:ext xmlns:c16="http://schemas.microsoft.com/office/drawing/2014/chart" uri="{C3380CC4-5D6E-409C-BE32-E72D297353CC}">
              <c16:uniqueId val="{00000006-2B56-4A05-8B5D-70D456FD90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defRPr sz="1197"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197"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0.75723</cdr:x>
      <cdr:y>0.21071</cdr:y>
    </cdr:from>
    <cdr:to>
      <cdr:x>1</cdr:x>
      <cdr:y>0.29047</cdr:y>
    </cdr:to>
    <cdr:sp macro="" textlink="">
      <cdr:nvSpPr>
        <cdr:cNvPr id="2" name="TextBox 10"/>
        <cdr:cNvSpPr txBox="1"/>
      </cdr:nvSpPr>
      <cdr:spPr>
        <a:xfrm xmlns:a="http://schemas.openxmlformats.org/drawingml/2006/main">
          <a:off x="4907013" y="731748"/>
          <a:ext cx="1573162" cy="276999"/>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ru-RU" sz="1200" b="1" dirty="0">
              <a:latin typeface="Times New Roman" panose="02020603050405020304" pitchFamily="18" charset="0"/>
              <a:cs typeface="Times New Roman" panose="02020603050405020304" pitchFamily="18" charset="0"/>
            </a:rPr>
            <a:t>Средний балл 23,6</a:t>
          </a:r>
          <a:endParaRPr lang="en-US" sz="1200" b="1"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84</Pages>
  <Words>32087</Words>
  <Characters>182896</Characters>
  <Application>Microsoft Office Word</Application>
  <DocSecurity>4</DocSecurity>
  <Lines>1524</Lines>
  <Paragraphs>429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Тілеубек Меруерт</dc:creator>
  <cp:keywords/>
  <dc:description/>
  <cp:lastModifiedBy>Аразниязова Ирина</cp:lastModifiedBy>
  <cp:revision>2</cp:revision>
  <dcterms:created xsi:type="dcterms:W3CDTF">2024-11-21T10:47:00Z</dcterms:created>
  <dcterms:modified xsi:type="dcterms:W3CDTF">2024-11-21T10:47:00Z</dcterms:modified>
</cp:coreProperties>
</file>